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distribute"/>
        <w:rPr>
          <w:rFonts w:hint="eastAsia" w:ascii="宋体" w:hAnsi="宋体"/>
          <w:b/>
          <w:color w:val="FF0000"/>
          <w:spacing w:val="91"/>
          <w:sz w:val="52"/>
          <w:szCs w:val="52"/>
        </w:rPr>
      </w:pPr>
      <w:r>
        <w:rPr>
          <w:rFonts w:hint="eastAsia" w:ascii="宋体" w:hAnsi="宋体"/>
          <w:b/>
          <w:color w:val="FF0000"/>
          <w:spacing w:val="91"/>
          <w:sz w:val="2"/>
          <w:szCs w:val="2"/>
        </w:rPr>
        <w:t xml:space="preserve"> </w:t>
      </w:r>
      <w:r>
        <w:rPr>
          <w:rFonts w:hint="eastAsia" w:ascii="方正小标宋_GBK" w:hAnsi="方正小标宋_GBK" w:eastAsia="方正小标宋_GBK" w:cs="方正小标宋_GBK"/>
          <w:b/>
          <w:color w:val="FF0000"/>
          <w:spacing w:val="91"/>
          <w:sz w:val="52"/>
          <w:szCs w:val="52"/>
        </w:rPr>
        <w:t>深圳市福田区慢性病防治院</w:t>
      </w:r>
    </w:p>
    <w:p>
      <w:pPr>
        <w:spacing w:line="400" w:lineRule="exact"/>
        <w:jc w:val="both"/>
        <w:rPr>
          <w:rFonts w:hint="eastAsia" w:ascii="宋体" w:hAnsi="宋体"/>
          <w:b/>
          <w:color w:val="FF0000"/>
          <w:sz w:val="48"/>
          <w:szCs w:val="48"/>
        </w:rPr>
      </w:pPr>
      <w:r>
        <w:rPr>
          <w:rFonts w:hint="eastAsia" w:ascii="宋体" w:hAnsi="宋体"/>
          <w:b/>
          <w:color w:val="FF0000"/>
          <w:sz w:val="48"/>
          <w:szCs w:val="48"/>
        </w:rPr>
        <mc:AlternateContent>
          <mc:Choice Requires="wps">
            <w:drawing>
              <wp:anchor distT="0" distB="0" distL="114300" distR="114300" simplePos="0" relativeHeight="251659264" behindDoc="0" locked="0" layoutInCell="1" allowOverlap="1">
                <wp:simplePos x="0" y="0"/>
                <wp:positionH relativeFrom="column">
                  <wp:posOffset>-201295</wp:posOffset>
                </wp:positionH>
                <wp:positionV relativeFrom="paragraph">
                  <wp:posOffset>13335</wp:posOffset>
                </wp:positionV>
                <wp:extent cx="6120130" cy="635"/>
                <wp:effectExtent l="0" t="28575" r="13970" b="46990"/>
                <wp:wrapNone/>
                <wp:docPr id="1" name="直接连接符 1"/>
                <wp:cNvGraphicFramePr/>
                <a:graphic xmlns:a="http://schemas.openxmlformats.org/drawingml/2006/main">
                  <a:graphicData uri="http://schemas.microsoft.com/office/word/2010/wordprocessingShape">
                    <wps:wsp>
                      <wps:cNvCnPr/>
                      <wps:spPr>
                        <a:xfrm>
                          <a:off x="0" y="0"/>
                          <a:ext cx="6120130" cy="635"/>
                        </a:xfrm>
                        <a:prstGeom prst="line">
                          <a:avLst/>
                        </a:prstGeom>
                        <a:ln w="57150" cap="flat" cmpd="thickThin">
                          <a:solidFill>
                            <a:srgbClr val="FF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15.85pt;margin-top:1.05pt;height:0.05pt;width:481.9pt;z-index:251659264;mso-width-relative:page;mso-height-relative:page;" filled="f" stroked="t" coordsize="21600,21600" o:gfxdata="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M2IVonSAAAABwEAAA8AAAAAAAAAAQAgAAAAIgAAAGRycy9kb3ducmV2Lnht&#10;bFBLAQIUABQAAAAIAIdO4kDflZkR/wEAAPsDAAAOAAAAAAAAAAEAIAAAACEBAABkcnMvZTJvRG9j&#10;LnhtbFBLBQYAAAAABgAGAFkBAACSBQAAAAA=&#10;">
                <v:fill on="f" focussize="0,0"/>
                <v:stroke weight="4.5pt" color="#FF0000" linestyle="thickThin" joinstyle="round"/>
                <v:imagedata o:title=""/>
                <o:lock v:ext="edit" aspectratio="f"/>
              </v:line>
            </w:pict>
          </mc:Fallback>
        </mc:AlternateContent>
      </w:r>
    </w:p>
    <w:p>
      <w:pPr>
        <w:keepNext w:val="0"/>
        <w:keepLines w:val="0"/>
        <w:pageBreakBefore w:val="0"/>
        <w:widowControl w:val="0"/>
        <w:kinsoku/>
        <w:wordWrap/>
        <w:overflowPunct/>
        <w:topLinePunct w:val="0"/>
        <w:autoSpaceDE/>
        <w:bidi w:val="0"/>
        <w:adjustRightInd/>
        <w:snapToGrid/>
        <w:spacing w:line="560" w:lineRule="exact"/>
        <w:jc w:val="center"/>
        <w:textAlignment w:val="auto"/>
        <w:rPr>
          <w:rFonts w:hint="eastAsia" w:ascii="方正小标宋_GBK" w:hAnsi="方正小标宋_GBK" w:eastAsia="方正小标宋_GBK" w:cs="方正小标宋_GBK"/>
          <w:sz w:val="44"/>
          <w:szCs w:val="44"/>
          <w:lang w:eastAsia="zh-CN"/>
        </w:rPr>
      </w:pPr>
      <w:r>
        <w:rPr>
          <w:rFonts w:hint="eastAsia" w:ascii="方正小标宋_GBK" w:hAnsi="方正小标宋_GBK" w:eastAsia="方正小标宋_GBK" w:cs="方正小标宋_GBK"/>
          <w:sz w:val="44"/>
          <w:szCs w:val="44"/>
          <w:lang w:eastAsia="zh-CN"/>
        </w:rPr>
        <w:t>深圳市福田区慢性病防治院</w:t>
      </w:r>
    </w:p>
    <w:p>
      <w:pPr>
        <w:keepNext w:val="0"/>
        <w:keepLines w:val="0"/>
        <w:pageBreakBefore w:val="0"/>
        <w:widowControl w:val="0"/>
        <w:kinsoku/>
        <w:wordWrap/>
        <w:overflowPunct/>
        <w:topLinePunct w:val="0"/>
        <w:autoSpaceDE/>
        <w:bidi w:val="0"/>
        <w:adjustRightInd/>
        <w:snapToGrid/>
        <w:spacing w:line="560" w:lineRule="exact"/>
        <w:jc w:val="center"/>
        <w:textAlignment w:val="auto"/>
        <w:rPr>
          <w:rFonts w:hint="eastAsia" w:ascii="方正小标宋_GBK" w:hAnsi="方正小标宋_GBK" w:eastAsia="方正小标宋_GBK" w:cs="方正小标宋_GBK"/>
          <w:sz w:val="44"/>
          <w:szCs w:val="44"/>
          <w:lang w:eastAsia="zh-CN"/>
        </w:rPr>
      </w:pPr>
      <w:r>
        <w:rPr>
          <w:rFonts w:hint="eastAsia" w:ascii="方正小标宋_GBK" w:hAnsi="方正小标宋_GBK" w:eastAsia="方正小标宋_GBK" w:cs="方正小标宋_GBK"/>
          <w:sz w:val="44"/>
          <w:szCs w:val="44"/>
          <w:lang w:eastAsia="zh-CN"/>
        </w:rPr>
        <w:t>关于临床和医技科室试剂耗材公开遴选的公告（</w:t>
      </w:r>
      <w:r>
        <w:rPr>
          <w:rFonts w:hint="eastAsia" w:ascii="方正小标宋_GBK" w:hAnsi="方正小标宋_GBK" w:eastAsia="方正小标宋_GBK" w:cs="方正小标宋_GBK"/>
          <w:sz w:val="44"/>
          <w:szCs w:val="44"/>
          <w:lang w:val="en-US" w:eastAsia="zh-CN"/>
        </w:rPr>
        <w:t>第二次</w:t>
      </w:r>
      <w:r>
        <w:rPr>
          <w:rFonts w:hint="eastAsia" w:ascii="方正小标宋_GBK" w:hAnsi="方正小标宋_GBK" w:eastAsia="方正小标宋_GBK" w:cs="方正小标宋_GBK"/>
          <w:sz w:val="44"/>
          <w:szCs w:val="44"/>
          <w:lang w:eastAsia="zh-CN"/>
        </w:rPr>
        <w:t>）</w:t>
      </w:r>
    </w:p>
    <w:p>
      <w:pPr>
        <w:keepNext w:val="0"/>
        <w:keepLines w:val="0"/>
        <w:pageBreakBefore w:val="0"/>
        <w:widowControl w:val="0"/>
        <w:kinsoku/>
        <w:wordWrap/>
        <w:overflowPunct/>
        <w:topLinePunct w:val="0"/>
        <w:autoSpaceDE/>
        <w:bidi w:val="0"/>
        <w:adjustRightInd/>
        <w:snapToGrid/>
        <w:spacing w:line="560" w:lineRule="exact"/>
        <w:jc w:val="center"/>
        <w:textAlignment w:val="auto"/>
        <w:rPr>
          <w:rFonts w:hint="eastAsia" w:ascii="方正小标宋_GBK" w:hAnsi="方正小标宋_GBK" w:eastAsia="方正小标宋_GBK" w:cs="方正小标宋_GBK"/>
          <w:sz w:val="44"/>
          <w:szCs w:val="44"/>
          <w:lang w:eastAsia="zh-CN"/>
        </w:rPr>
      </w:pPr>
    </w:p>
    <w:p>
      <w:pPr>
        <w:keepNext w:val="0"/>
        <w:keepLines w:val="0"/>
        <w:pageBreakBefore w:val="0"/>
        <w:widowControl w:val="0"/>
        <w:kinsoku/>
        <w:wordWrap/>
        <w:overflowPunct/>
        <w:topLinePunct w:val="0"/>
        <w:autoSpaceDE/>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福田区慢性病防治院拟</w:t>
      </w:r>
      <w:r>
        <w:rPr>
          <w:rFonts w:hint="eastAsia" w:ascii="仿宋_GB2312" w:hAnsi="仿宋_GB2312" w:eastAsia="仿宋_GB2312" w:cs="仿宋_GB2312"/>
          <w:sz w:val="32"/>
          <w:szCs w:val="32"/>
          <w:lang w:val="en-US" w:eastAsia="zh-CN"/>
        </w:rPr>
        <w:t>公开采购部分临床和医技科室试剂耗</w:t>
      </w:r>
      <w:r>
        <w:rPr>
          <w:rFonts w:hint="eastAsia" w:ascii="仿宋_GB2312" w:hAnsi="仿宋_GB2312" w:eastAsia="仿宋_GB2312" w:cs="仿宋_GB2312"/>
          <w:sz w:val="32"/>
          <w:szCs w:val="32"/>
          <w:lang w:eastAsia="zh-CN"/>
        </w:rPr>
        <w:t>材，欢迎符合资格条件的厂家和供应商积极参与竞争，提交资料报名。</w:t>
      </w:r>
    </w:p>
    <w:p>
      <w:pPr>
        <w:keepNext w:val="0"/>
        <w:keepLines w:val="0"/>
        <w:pageBreakBefore w:val="0"/>
        <w:widowControl w:val="0"/>
        <w:kinsoku/>
        <w:wordWrap/>
        <w:overflowPunct/>
        <w:topLinePunct w:val="0"/>
        <w:autoSpaceDE/>
        <w:bidi w:val="0"/>
        <w:adjustRightInd/>
        <w:snapToGrid/>
        <w:spacing w:line="56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一、基本要求</w:t>
      </w:r>
    </w:p>
    <w:p>
      <w:pPr>
        <w:keepNext w:val="0"/>
        <w:keepLines w:val="0"/>
        <w:pageBreakBefore w:val="0"/>
        <w:widowControl w:val="0"/>
        <w:kinsoku/>
        <w:wordWrap/>
        <w:overflowPunct/>
        <w:topLinePunct w:val="0"/>
        <w:autoSpaceDE/>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医疗器械各项耗材原则上优先选择深圳市医用阳光采购交易平台目录内产品，所投产品须填写市阳光平台交易产品代码。若有项目已纳入国家或省市集中采购、价格优势专区目录内，则在集中采购、价格优势专区目录的中选产品中进行遴选。非医疗器械各项耗材须为满足相关业务的产品。</w:t>
      </w:r>
    </w:p>
    <w:p>
      <w:pPr>
        <w:keepNext w:val="0"/>
        <w:keepLines w:val="0"/>
        <w:pageBreakBefore w:val="0"/>
        <w:widowControl w:val="0"/>
        <w:kinsoku/>
        <w:wordWrap/>
        <w:overflowPunct/>
        <w:topLinePunct w:val="0"/>
        <w:autoSpaceDE/>
        <w:bidi w:val="0"/>
        <w:adjustRightInd/>
        <w:snapToGrid/>
        <w:spacing w:line="56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二、报名条件</w:t>
      </w:r>
    </w:p>
    <w:p>
      <w:pPr>
        <w:keepNext w:val="0"/>
        <w:keepLines w:val="0"/>
        <w:pageBreakBefore w:val="0"/>
        <w:widowControl w:val="0"/>
        <w:kinsoku/>
        <w:wordWrap/>
        <w:overflowPunct/>
        <w:topLinePunct w:val="0"/>
        <w:autoSpaceDE/>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楷体_GB2312" w:hAnsi="楷体_GB2312" w:eastAsia="楷体_GB2312" w:cs="楷体_GB2312"/>
          <w:sz w:val="32"/>
          <w:szCs w:val="32"/>
          <w:lang w:eastAsia="zh-CN"/>
        </w:rPr>
        <w:t>（一）</w:t>
      </w:r>
      <w:r>
        <w:rPr>
          <w:rFonts w:hint="eastAsia" w:ascii="仿宋_GB2312" w:hAnsi="仿宋_GB2312" w:eastAsia="仿宋_GB2312" w:cs="仿宋_GB2312"/>
          <w:sz w:val="32"/>
          <w:szCs w:val="32"/>
          <w:lang w:eastAsia="zh-CN"/>
        </w:rPr>
        <w:t>具有独立法人资格，依法取得《营业执照》、《医疗器械经营许可证》，具备所投产品的《医疗器械生产许可证》、《医疗器械产品注册证》、各级授权书、产品检测报告等。在近三年未因违规经营而受到处罚，有依法缴纳税收和社会保障资金的良好记录。</w:t>
      </w:r>
    </w:p>
    <w:p>
      <w:pPr>
        <w:keepNext w:val="0"/>
        <w:keepLines w:val="0"/>
        <w:pageBreakBefore w:val="0"/>
        <w:widowControl w:val="0"/>
        <w:kinsoku/>
        <w:wordWrap/>
        <w:overflowPunct/>
        <w:topLinePunct w:val="0"/>
        <w:autoSpaceDE/>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mc:AlternateContent>
          <mc:Choice Requires="wps">
            <w:drawing>
              <wp:anchor distT="0" distB="0" distL="114300" distR="114300" simplePos="0" relativeHeight="251660288" behindDoc="1" locked="0" layoutInCell="1" allowOverlap="1">
                <wp:simplePos x="0" y="0"/>
                <wp:positionH relativeFrom="column">
                  <wp:posOffset>-234315</wp:posOffset>
                </wp:positionH>
                <wp:positionV relativeFrom="paragraph">
                  <wp:posOffset>1244600</wp:posOffset>
                </wp:positionV>
                <wp:extent cx="6120130" cy="635"/>
                <wp:effectExtent l="0" t="28575" r="13970" b="46990"/>
                <wp:wrapThrough wrapText="bothSides">
                  <wp:wrapPolygon>
                    <wp:start x="0" y="-972000"/>
                    <wp:lineTo x="0" y="324000"/>
                    <wp:lineTo x="21515" y="324000"/>
                    <wp:lineTo x="21515" y="-972000"/>
                    <wp:lineTo x="0" y="-972000"/>
                  </wp:wrapPolygon>
                </wp:wrapThrough>
                <wp:docPr id="2" name="直接连接符 2"/>
                <wp:cNvGraphicFramePr/>
                <a:graphic xmlns:a="http://schemas.openxmlformats.org/drawingml/2006/main">
                  <a:graphicData uri="http://schemas.microsoft.com/office/word/2010/wordprocessingShape">
                    <wps:wsp>
                      <wps:cNvCnPr/>
                      <wps:spPr>
                        <a:xfrm>
                          <a:off x="0" y="0"/>
                          <a:ext cx="6120130" cy="635"/>
                        </a:xfrm>
                        <a:prstGeom prst="line">
                          <a:avLst/>
                        </a:prstGeom>
                        <a:ln w="57150" cap="flat" cmpd="thinThick">
                          <a:solidFill>
                            <a:srgbClr val="FF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18.45pt;margin-top:98pt;height:0.05pt;width:481.9pt;mso-wrap-distance-left:9pt;mso-wrap-distance-right:9pt;z-index:-251656192;mso-width-relative:page;mso-height-relative:page;" filled="f" stroked="t" coordsize="21600,21600" wrapcoords="0 -972000 0 324000 21515 324000 21515 -972000 0 -972000" o:gfxdata="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XspXKdYAAAALAQAADwAAAAAAAAABACAAAAAiAAAAZHJzL2Rvd25y&#10;ZXYueG1sUEsBAhQAFAAAAAgAh07iQL4CSMoAAgAA+wMAAA4AAAAAAAAAAQAgAAAAJQEAAGRycy9l&#10;Mm9Eb2MueG1sUEsFBgAAAAAGAAYAWQEAAJcFAAAAAA==&#10;">
                <v:fill on="f" focussize="0,0"/>
                <v:stroke weight="4.5pt" color="#FF0000" linestyle="thinThick" joinstyle="round"/>
                <v:imagedata o:title=""/>
                <o:lock v:ext="edit" aspectratio="f"/>
                <w10:wrap type="through"/>
              </v:line>
            </w:pict>
          </mc:Fallback>
        </mc:AlternateContent>
      </w:r>
      <w:r>
        <w:rPr>
          <w:rFonts w:hint="eastAsia" w:ascii="楷体_GB2312" w:hAnsi="楷体_GB2312" w:eastAsia="楷体_GB2312" w:cs="楷体_GB2312"/>
          <w:sz w:val="32"/>
          <w:szCs w:val="32"/>
          <w:lang w:eastAsia="zh-CN"/>
        </w:rPr>
        <w:t>（二）</w:t>
      </w:r>
      <w:r>
        <w:rPr>
          <w:rFonts w:hint="eastAsia" w:ascii="仿宋_GB2312" w:hAnsi="仿宋_GB2312" w:eastAsia="仿宋_GB2312" w:cs="仿宋_GB2312"/>
          <w:sz w:val="32"/>
          <w:szCs w:val="32"/>
          <w:lang w:eastAsia="zh-CN"/>
        </w:rPr>
        <w:t>公司（单位）法定代表人（负责人）为同一人或者存在直接控股、管理关系的不同供应商，不得同时参加本次项目采购活动。</w:t>
      </w:r>
    </w:p>
    <w:p>
      <w:pPr>
        <w:keepNext w:val="0"/>
        <w:keepLines w:val="0"/>
        <w:pageBreakBefore w:val="0"/>
        <w:widowControl w:val="0"/>
        <w:kinsoku/>
        <w:wordWrap/>
        <w:overflowPunct/>
        <w:topLinePunct w:val="0"/>
        <w:autoSpaceDE/>
        <w:bidi w:val="0"/>
        <w:adjustRightInd/>
        <w:snapToGrid/>
        <w:spacing w:line="56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三、采购需求</w:t>
      </w:r>
    </w:p>
    <w:p>
      <w:pPr>
        <w:keepNext w:val="0"/>
        <w:keepLines w:val="0"/>
        <w:pageBreakBefore w:val="0"/>
        <w:widowControl w:val="0"/>
        <w:kinsoku/>
        <w:wordWrap/>
        <w:overflowPunct/>
        <w:topLinePunct w:val="0"/>
        <w:autoSpaceDE/>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采购</w:t>
      </w:r>
      <w:r>
        <w:rPr>
          <w:rFonts w:hint="eastAsia" w:ascii="仿宋_GB2312" w:hAnsi="仿宋_GB2312" w:eastAsia="仿宋_GB2312" w:cs="仿宋_GB2312"/>
          <w:sz w:val="32"/>
          <w:szCs w:val="32"/>
          <w:lang w:eastAsia="zh-CN"/>
        </w:rPr>
        <w:t>遴选目录：详见附件1。</w:t>
      </w:r>
    </w:p>
    <w:p>
      <w:pPr>
        <w:keepNext w:val="0"/>
        <w:keepLines w:val="0"/>
        <w:pageBreakBefore w:val="0"/>
        <w:widowControl w:val="0"/>
        <w:kinsoku/>
        <w:wordWrap/>
        <w:overflowPunct/>
        <w:topLinePunct w:val="0"/>
        <w:autoSpaceDE/>
        <w:bidi w:val="0"/>
        <w:adjustRightInd/>
        <w:snapToGrid/>
        <w:spacing w:line="56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四、报名提交资料：</w:t>
      </w:r>
    </w:p>
    <w:p>
      <w:pPr>
        <w:keepNext w:val="0"/>
        <w:keepLines w:val="0"/>
        <w:pageBreakBefore w:val="0"/>
        <w:widowControl w:val="0"/>
        <w:kinsoku/>
        <w:wordWrap/>
        <w:overflowPunct/>
        <w:topLinePunct w:val="0"/>
        <w:autoSpaceDE/>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楷体_GB2312" w:hAnsi="楷体_GB2312" w:eastAsia="楷体_GB2312" w:cs="楷体_GB2312"/>
          <w:sz w:val="32"/>
          <w:szCs w:val="32"/>
          <w:lang w:eastAsia="zh-CN"/>
        </w:rPr>
        <w:t>（一）</w:t>
      </w:r>
      <w:r>
        <w:rPr>
          <w:rFonts w:hint="eastAsia" w:ascii="仿宋_GB2312" w:hAnsi="仿宋_GB2312" w:eastAsia="仿宋_GB2312" w:cs="仿宋_GB2312"/>
          <w:sz w:val="32"/>
          <w:szCs w:val="32"/>
          <w:lang w:eastAsia="zh-CN"/>
        </w:rPr>
        <w:t>提交加盖公章的相关资格资质证明文件1份（提供营业执照、法人代表授权委托书、授权代表近三个月的社保缴纳明细、市阳光平台配送资质的系统操作界面截屏等证明文件，具体要求详见附件2）。</w:t>
      </w:r>
    </w:p>
    <w:p>
      <w:pPr>
        <w:keepNext w:val="0"/>
        <w:keepLines w:val="0"/>
        <w:pageBreakBefore w:val="0"/>
        <w:widowControl w:val="0"/>
        <w:kinsoku/>
        <w:wordWrap/>
        <w:overflowPunct/>
        <w:topLinePunct w:val="0"/>
        <w:autoSpaceDE/>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楷体_GB2312" w:hAnsi="楷体_GB2312" w:eastAsia="楷体_GB2312" w:cs="楷体_GB2312"/>
          <w:sz w:val="32"/>
          <w:szCs w:val="32"/>
          <w:lang w:eastAsia="zh-CN"/>
        </w:rPr>
        <w:t>（二）</w:t>
      </w:r>
      <w:r>
        <w:rPr>
          <w:rFonts w:hint="eastAsia" w:ascii="仿宋_GB2312" w:hAnsi="仿宋_GB2312" w:eastAsia="仿宋_GB2312" w:cs="仿宋_GB2312"/>
          <w:sz w:val="32"/>
          <w:szCs w:val="32"/>
          <w:lang w:eastAsia="zh-CN"/>
        </w:rPr>
        <w:t>供应商递交的纸质及电子资料须按公开遴选文件（附件2）要求的格式和顺序排列，否则</w:t>
      </w:r>
      <w:r>
        <w:rPr>
          <w:rFonts w:hint="eastAsia" w:ascii="仿宋_GB2312" w:hAnsi="仿宋_GB2312" w:eastAsia="仿宋_GB2312" w:cs="仿宋_GB2312"/>
          <w:sz w:val="32"/>
          <w:szCs w:val="32"/>
          <w:lang w:val="en-US" w:eastAsia="zh-CN"/>
        </w:rPr>
        <w:t>可</w:t>
      </w:r>
      <w:r>
        <w:rPr>
          <w:rFonts w:hint="eastAsia" w:ascii="仿宋_GB2312" w:hAnsi="仿宋_GB2312" w:eastAsia="仿宋_GB2312" w:cs="仿宋_GB2312"/>
          <w:sz w:val="32"/>
          <w:szCs w:val="32"/>
          <w:lang w:eastAsia="zh-CN"/>
        </w:rPr>
        <w:t>视为不合格。项目的所有文件电子版整合成1个PDF文件（命名格式：</w:t>
      </w:r>
      <w:r>
        <w:rPr>
          <w:rFonts w:hint="eastAsia" w:ascii="仿宋_GB2312" w:hAnsi="仿宋_GB2312" w:eastAsia="仿宋_GB2312" w:cs="仿宋_GB2312"/>
          <w:color w:val="auto"/>
          <w:sz w:val="32"/>
          <w:szCs w:val="32"/>
          <w:highlight w:val="none"/>
          <w:lang w:eastAsia="zh-CN"/>
        </w:rPr>
        <w:t>“FTMB-HC-202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eastAsia="zh-CN"/>
        </w:rPr>
        <w:t>0</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+供应商名称”），其中供应商报名产品目录表需分别提供EXCEL电子版（具体要求详见附件3、4）。</w:t>
      </w:r>
    </w:p>
    <w:p>
      <w:pPr>
        <w:keepNext w:val="0"/>
        <w:keepLines w:val="0"/>
        <w:pageBreakBefore w:val="0"/>
        <w:widowControl w:val="0"/>
        <w:kinsoku/>
        <w:wordWrap/>
        <w:overflowPunct/>
        <w:topLinePunct w:val="0"/>
        <w:autoSpaceDE/>
        <w:bidi w:val="0"/>
        <w:adjustRightInd/>
        <w:snapToGrid/>
        <w:spacing w:line="560" w:lineRule="exact"/>
        <w:ind w:firstLine="640" w:firstLineChars="200"/>
        <w:textAlignment w:val="auto"/>
        <w:rPr>
          <w:rFonts w:hint="eastAsia" w:ascii="黑体" w:hAnsi="黑体" w:eastAsia="黑体" w:cs="黑体"/>
          <w:color w:val="auto"/>
          <w:sz w:val="32"/>
          <w:szCs w:val="32"/>
          <w:highlight w:val="none"/>
          <w:lang w:eastAsia="zh-CN"/>
        </w:rPr>
      </w:pPr>
      <w:r>
        <w:rPr>
          <w:rFonts w:hint="eastAsia" w:ascii="黑体" w:hAnsi="黑体" w:eastAsia="黑体" w:cs="黑体"/>
          <w:color w:val="auto"/>
          <w:sz w:val="32"/>
          <w:szCs w:val="32"/>
          <w:highlight w:val="none"/>
          <w:lang w:eastAsia="zh-CN"/>
        </w:rPr>
        <w:t>五、报名事项</w:t>
      </w:r>
    </w:p>
    <w:p>
      <w:pPr>
        <w:keepNext w:val="0"/>
        <w:keepLines w:val="0"/>
        <w:pageBreakBefore w:val="0"/>
        <w:widowControl w:val="0"/>
        <w:kinsoku/>
        <w:wordWrap/>
        <w:overflowPunct/>
        <w:topLinePunct w:val="0"/>
        <w:autoSpaceDE/>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楷体_GB2312" w:hAnsi="楷体_GB2312" w:eastAsia="楷体_GB2312" w:cs="楷体_GB2312"/>
          <w:color w:val="auto"/>
          <w:sz w:val="32"/>
          <w:szCs w:val="32"/>
          <w:highlight w:val="none"/>
          <w:lang w:eastAsia="zh-CN"/>
        </w:rPr>
        <w:t>（一）报名时间：</w:t>
      </w: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eastAsia="zh-CN"/>
        </w:rPr>
        <w:t>年</w:t>
      </w:r>
      <w:r>
        <w:rPr>
          <w:rFonts w:hint="eastAsia" w:ascii="仿宋_GB2312" w:hAnsi="仿宋_GB2312" w:eastAsia="仿宋_GB2312" w:cs="仿宋_GB2312"/>
          <w:color w:val="auto"/>
          <w:sz w:val="32"/>
          <w:szCs w:val="32"/>
          <w:highlight w:val="none"/>
          <w:lang w:val="en-US" w:eastAsia="zh-CN"/>
        </w:rPr>
        <w:t>7</w:t>
      </w:r>
      <w:r>
        <w:rPr>
          <w:rFonts w:hint="eastAsia" w:ascii="仿宋_GB2312" w:hAnsi="仿宋_GB2312" w:eastAsia="仿宋_GB2312" w:cs="仿宋_GB2312"/>
          <w:color w:val="auto"/>
          <w:sz w:val="32"/>
          <w:szCs w:val="32"/>
          <w:highlight w:val="none"/>
          <w:lang w:eastAsia="zh-CN"/>
        </w:rPr>
        <w:t>月</w:t>
      </w:r>
      <w:r>
        <w:rPr>
          <w:rFonts w:hint="eastAsia" w:ascii="仿宋_GB2312" w:hAnsi="仿宋_GB2312" w:eastAsia="仿宋_GB2312" w:cs="仿宋_GB2312"/>
          <w:color w:val="auto"/>
          <w:sz w:val="32"/>
          <w:szCs w:val="32"/>
          <w:highlight w:val="none"/>
          <w:lang w:val="en-US" w:eastAsia="zh-CN"/>
        </w:rPr>
        <w:t>19</w:t>
      </w:r>
      <w:r>
        <w:rPr>
          <w:rFonts w:hint="eastAsia" w:ascii="仿宋_GB2312" w:hAnsi="仿宋_GB2312" w:eastAsia="仿宋_GB2312" w:cs="仿宋_GB2312"/>
          <w:color w:val="auto"/>
          <w:sz w:val="32"/>
          <w:szCs w:val="32"/>
          <w:highlight w:val="none"/>
          <w:lang w:eastAsia="zh-CN"/>
        </w:rPr>
        <w:t>日下午5点前。</w:t>
      </w:r>
    </w:p>
    <w:p>
      <w:pPr>
        <w:keepNext w:val="0"/>
        <w:keepLines w:val="0"/>
        <w:pageBreakBefore w:val="0"/>
        <w:widowControl w:val="0"/>
        <w:kinsoku/>
        <w:wordWrap/>
        <w:overflowPunct/>
        <w:topLinePunct w:val="0"/>
        <w:autoSpaceDE/>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楷体_GB2312" w:hAnsi="楷体_GB2312" w:eastAsia="楷体_GB2312" w:cs="楷体_GB2312"/>
          <w:color w:val="auto"/>
          <w:sz w:val="32"/>
          <w:szCs w:val="32"/>
          <w:highlight w:val="none"/>
          <w:lang w:eastAsia="zh-CN"/>
        </w:rPr>
        <w:t>（二）报名方式：</w:t>
      </w:r>
      <w:r>
        <w:rPr>
          <w:rFonts w:hint="eastAsia" w:ascii="仿宋_GB2312" w:hAnsi="仿宋_GB2312" w:eastAsia="仿宋_GB2312" w:cs="仿宋_GB2312"/>
          <w:color w:val="auto"/>
          <w:sz w:val="32"/>
          <w:szCs w:val="32"/>
          <w:highlight w:val="none"/>
          <w:lang w:eastAsia="zh-CN"/>
        </w:rPr>
        <w:t>供应商携带纸质和电子版报名资料现场报名。</w:t>
      </w:r>
    </w:p>
    <w:p>
      <w:pPr>
        <w:keepNext w:val="0"/>
        <w:keepLines w:val="0"/>
        <w:pageBreakBefore w:val="0"/>
        <w:widowControl w:val="0"/>
        <w:kinsoku/>
        <w:wordWrap/>
        <w:overflowPunct/>
        <w:topLinePunct w:val="0"/>
        <w:autoSpaceDE/>
        <w:bidi w:val="0"/>
        <w:adjustRightInd/>
        <w:snapToGrid/>
        <w:spacing w:line="560" w:lineRule="exact"/>
        <w:ind w:firstLine="320" w:firstLineChars="100"/>
        <w:textAlignment w:val="auto"/>
        <w:rPr>
          <w:rFonts w:hint="eastAsia" w:ascii="仿宋_GB2312" w:hAnsi="仿宋_GB2312" w:eastAsia="仿宋_GB2312" w:cs="仿宋_GB2312"/>
          <w:sz w:val="32"/>
          <w:szCs w:val="32"/>
          <w:lang w:eastAsia="zh-CN"/>
        </w:rPr>
      </w:pPr>
      <w:r>
        <w:rPr>
          <w:rFonts w:hint="eastAsia" w:ascii="楷体_GB2312" w:hAnsi="楷体_GB2312" w:eastAsia="楷体_GB2312" w:cs="楷体_GB2312"/>
          <w:color w:val="auto"/>
          <w:sz w:val="32"/>
          <w:szCs w:val="32"/>
          <w:highlight w:val="none"/>
          <w:lang w:eastAsia="zh-CN"/>
        </w:rPr>
        <w:t>　（三）联系人及联系方式：</w:t>
      </w:r>
      <w:r>
        <w:rPr>
          <w:rFonts w:hint="eastAsia" w:ascii="仿宋_GB2312" w:hAnsi="仿宋_GB2312" w:eastAsia="仿宋_GB2312" w:cs="仿宋_GB2312"/>
          <w:color w:val="auto"/>
          <w:sz w:val="32"/>
          <w:szCs w:val="32"/>
          <w:highlight w:val="none"/>
          <w:lang w:val="en-US" w:eastAsia="zh-CN"/>
        </w:rPr>
        <w:t>黄老师、石</w:t>
      </w:r>
      <w:r>
        <w:rPr>
          <w:rFonts w:hint="eastAsia" w:ascii="仿宋_GB2312" w:hAnsi="仿宋_GB2312" w:eastAsia="仿宋_GB2312" w:cs="仿宋_GB2312"/>
          <w:color w:val="auto"/>
          <w:sz w:val="32"/>
          <w:szCs w:val="32"/>
          <w:highlight w:val="none"/>
          <w:lang w:eastAsia="zh-CN"/>
        </w:rPr>
        <w:t>老师，0755-8</w:t>
      </w:r>
      <w:r>
        <w:rPr>
          <w:rFonts w:hint="eastAsia" w:ascii="仿宋_GB2312" w:hAnsi="仿宋_GB2312" w:eastAsia="仿宋_GB2312" w:cs="仿宋_GB2312"/>
          <w:sz w:val="32"/>
          <w:szCs w:val="32"/>
          <w:lang w:eastAsia="zh-CN"/>
        </w:rPr>
        <w:t>3877023。</w:t>
      </w:r>
    </w:p>
    <w:p>
      <w:pPr>
        <w:keepNext w:val="0"/>
        <w:keepLines w:val="0"/>
        <w:pageBreakBefore w:val="0"/>
        <w:widowControl w:val="0"/>
        <w:kinsoku/>
        <w:wordWrap/>
        <w:overflowPunct/>
        <w:topLinePunct w:val="0"/>
        <w:autoSpaceDE/>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楷体_GB2312" w:hAnsi="楷体_GB2312" w:eastAsia="楷体_GB2312" w:cs="楷体_GB2312"/>
          <w:sz w:val="32"/>
          <w:szCs w:val="32"/>
          <w:lang w:eastAsia="zh-CN"/>
        </w:rPr>
        <w:t>（四）联系地址：</w:t>
      </w:r>
      <w:r>
        <w:rPr>
          <w:rFonts w:hint="eastAsia" w:ascii="仿宋_GB2312" w:hAnsi="仿宋_GB2312" w:eastAsia="仿宋_GB2312" w:cs="仿宋_GB2312"/>
          <w:sz w:val="32"/>
          <w:szCs w:val="32"/>
          <w:lang w:eastAsia="zh-CN"/>
        </w:rPr>
        <w:t>深圳市福田区八卦路众鑫科技大厦16楼1602总务设备科（工作时间：周一至周五，上午8：00-12：00，下午14：00-17：00，法定节假日除外）。</w:t>
      </w:r>
    </w:p>
    <w:p>
      <w:pPr>
        <w:keepNext w:val="0"/>
        <w:keepLines w:val="0"/>
        <w:pageBreakBefore w:val="0"/>
        <w:widowControl w:val="0"/>
        <w:kinsoku/>
        <w:wordWrap/>
        <w:overflowPunct/>
        <w:topLinePunct w:val="0"/>
        <w:autoSpaceDE/>
        <w:bidi w:val="0"/>
        <w:adjustRightInd/>
        <w:snapToGrid/>
        <w:spacing w:line="56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六、其他事项</w:t>
      </w:r>
    </w:p>
    <w:p>
      <w:pPr>
        <w:keepNext w:val="0"/>
        <w:keepLines w:val="0"/>
        <w:pageBreakBefore w:val="0"/>
        <w:widowControl w:val="0"/>
        <w:kinsoku/>
        <w:wordWrap/>
        <w:overflowPunct/>
        <w:topLinePunct w:val="0"/>
        <w:autoSpaceDE/>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楷体_GB2312" w:hAnsi="楷体_GB2312" w:eastAsia="楷体_GB2312" w:cs="楷体_GB2312"/>
          <w:sz w:val="32"/>
          <w:szCs w:val="32"/>
          <w:lang w:eastAsia="zh-CN"/>
        </w:rPr>
        <w:t>（一）</w:t>
      </w:r>
      <w:r>
        <w:rPr>
          <w:rFonts w:hint="eastAsia" w:ascii="仿宋_GB2312" w:hAnsi="仿宋_GB2312" w:eastAsia="仿宋_GB2312" w:cs="仿宋_GB2312"/>
          <w:sz w:val="32"/>
          <w:szCs w:val="32"/>
          <w:lang w:eastAsia="zh-CN"/>
        </w:rPr>
        <w:t>请按要求充分准备及核实相关资料，按顺序装订好相关资料；如资料不全、不清晰或审核不合格者，视为无效报名。</w:t>
      </w:r>
    </w:p>
    <w:p>
      <w:pPr>
        <w:keepNext w:val="0"/>
        <w:keepLines w:val="0"/>
        <w:pageBreakBefore w:val="0"/>
        <w:widowControl w:val="0"/>
        <w:kinsoku/>
        <w:wordWrap/>
        <w:overflowPunct/>
        <w:topLinePunct w:val="0"/>
        <w:autoSpaceDE/>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楷体_GB2312" w:hAnsi="楷体_GB2312" w:eastAsia="楷体_GB2312" w:cs="楷体_GB2312"/>
          <w:sz w:val="32"/>
          <w:szCs w:val="32"/>
          <w:lang w:eastAsia="zh-CN"/>
        </w:rPr>
        <w:t>（二）</w:t>
      </w:r>
      <w:r>
        <w:rPr>
          <w:rFonts w:hint="eastAsia" w:ascii="仿宋_GB2312" w:hAnsi="仿宋_GB2312" w:eastAsia="仿宋_GB2312" w:cs="仿宋_GB2312"/>
          <w:sz w:val="32"/>
          <w:szCs w:val="32"/>
          <w:lang w:eastAsia="zh-CN"/>
        </w:rPr>
        <w:t>申请人必须对所提供的材料真实性、准确性、合法性负责（须提交承诺函，盖章），若有弄虚作假行为，一经查实，将取消遴选资格。</w:t>
      </w:r>
    </w:p>
    <w:p>
      <w:pPr>
        <w:keepNext w:val="0"/>
        <w:keepLines w:val="0"/>
        <w:pageBreakBefore w:val="0"/>
        <w:widowControl w:val="0"/>
        <w:kinsoku/>
        <w:wordWrap/>
        <w:overflowPunct/>
        <w:topLinePunct w:val="0"/>
        <w:autoSpaceDE/>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试剂</w:t>
      </w:r>
      <w:r>
        <w:rPr>
          <w:rFonts w:hint="eastAsia" w:ascii="仿宋_GB2312" w:hAnsi="仿宋_GB2312" w:eastAsia="仿宋_GB2312" w:cs="仿宋_GB2312"/>
          <w:sz w:val="32"/>
          <w:szCs w:val="32"/>
        </w:rPr>
        <w:t>耗材</w:t>
      </w:r>
      <w:r>
        <w:rPr>
          <w:rFonts w:hint="eastAsia" w:ascii="仿宋_GB2312" w:hAnsi="仿宋_GB2312" w:eastAsia="仿宋_GB2312" w:cs="仿宋_GB2312"/>
          <w:sz w:val="32"/>
          <w:szCs w:val="32"/>
          <w:lang w:val="en-US" w:eastAsia="zh-CN"/>
        </w:rPr>
        <w:t>采购</w:t>
      </w:r>
      <w:r>
        <w:rPr>
          <w:rFonts w:hint="eastAsia" w:ascii="仿宋_GB2312" w:hAnsi="仿宋_GB2312" w:eastAsia="仿宋_GB2312" w:cs="仿宋_GB2312"/>
          <w:sz w:val="32"/>
          <w:szCs w:val="32"/>
        </w:rPr>
        <w:t>遴选目录</w:t>
      </w:r>
    </w:p>
    <w:p>
      <w:pPr>
        <w:keepNext w:val="0"/>
        <w:keepLines w:val="0"/>
        <w:pageBreakBefore w:val="0"/>
        <w:widowControl w:val="0"/>
        <w:kinsoku/>
        <w:wordWrap/>
        <w:overflowPunct/>
        <w:topLinePunct w:val="0"/>
        <w:autoSpaceDE/>
        <w:bidi w:val="0"/>
        <w:adjustRightInd/>
        <w:snapToGrid/>
        <w:spacing w:line="560" w:lineRule="exact"/>
        <w:ind w:firstLine="1600" w:firstLineChars="5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2.公开</w:t>
      </w:r>
      <w:r>
        <w:rPr>
          <w:rFonts w:hint="eastAsia" w:ascii="仿宋_GB2312" w:hAnsi="仿宋_GB2312" w:eastAsia="仿宋_GB2312" w:cs="仿宋_GB2312"/>
          <w:sz w:val="32"/>
          <w:szCs w:val="32"/>
          <w:lang w:val="en-US" w:eastAsia="zh-CN"/>
        </w:rPr>
        <w:t>采购</w:t>
      </w:r>
      <w:r>
        <w:rPr>
          <w:rFonts w:hint="eastAsia" w:ascii="仿宋_GB2312" w:hAnsi="仿宋_GB2312" w:eastAsia="仿宋_GB2312" w:cs="仿宋_GB2312"/>
          <w:sz w:val="32"/>
          <w:szCs w:val="32"/>
        </w:rPr>
        <w:t>遴选文件</w:t>
      </w:r>
    </w:p>
    <w:p>
      <w:pPr>
        <w:keepNext w:val="0"/>
        <w:keepLines w:val="0"/>
        <w:pageBreakBefore w:val="0"/>
        <w:widowControl w:val="0"/>
        <w:kinsoku/>
        <w:wordWrap/>
        <w:overflowPunct/>
        <w:topLinePunct w:val="0"/>
        <w:autoSpaceDE/>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3.供应商报名产品目录（医疗器械）</w:t>
      </w:r>
    </w:p>
    <w:p>
      <w:pPr>
        <w:keepNext w:val="0"/>
        <w:keepLines w:val="0"/>
        <w:pageBreakBefore w:val="0"/>
        <w:widowControl w:val="0"/>
        <w:kinsoku/>
        <w:wordWrap/>
        <w:overflowPunct/>
        <w:topLinePunct w:val="0"/>
        <w:autoSpaceDE/>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4.供应商报名产品目录（非医疗器械）</w:t>
      </w:r>
    </w:p>
    <w:p>
      <w:pPr>
        <w:keepNext w:val="0"/>
        <w:keepLines w:val="0"/>
        <w:pageBreakBefore w:val="0"/>
        <w:widowControl w:val="0"/>
        <w:kinsoku/>
        <w:wordWrap/>
        <w:overflowPunct/>
        <w:topLinePunct w:val="0"/>
        <w:autoSpaceDE/>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4480" w:firstLineChars="14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深圳市</w:t>
      </w:r>
      <w:r>
        <w:rPr>
          <w:rFonts w:hint="eastAsia" w:ascii="仿宋_GB2312" w:hAnsi="仿宋_GB2312" w:eastAsia="仿宋_GB2312" w:cs="仿宋_GB2312"/>
          <w:sz w:val="32"/>
          <w:szCs w:val="32"/>
        </w:rPr>
        <w:t>福田区慢性病防治院</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color w:val="auto"/>
          <w:kern w:val="0"/>
          <w:sz w:val="32"/>
          <w:szCs w:val="32"/>
          <w:highlight w:val="none"/>
          <w:lang w:val="en-US" w:eastAsia="zh-CN"/>
        </w:rPr>
        <w:t xml:space="preserve"> </w:t>
      </w:r>
      <w:r>
        <w:rPr>
          <w:rFonts w:hint="eastAsia" w:ascii="仿宋_GB2312" w:hAnsi="仿宋_GB2312" w:eastAsia="仿宋_GB2312" w:cs="仿宋_GB2312"/>
          <w:color w:val="auto"/>
          <w:sz w:val="32"/>
          <w:szCs w:val="32"/>
          <w:highlight w:val="none"/>
          <w:lang w:val="en-US" w:eastAsia="zh-CN"/>
        </w:rPr>
        <w:t>2024</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7</w:t>
      </w:r>
      <w:r>
        <w:rPr>
          <w:rFonts w:hint="eastAsia" w:ascii="仿宋_GB2312" w:hAnsi="仿宋_GB2312" w:eastAsia="仿宋_GB2312" w:cs="仿宋_GB2312"/>
          <w:color w:val="auto"/>
          <w:sz w:val="32"/>
          <w:szCs w:val="32"/>
          <w:highlight w:val="none"/>
        </w:rPr>
        <w:t>月</w:t>
      </w:r>
      <w:r>
        <w:rPr>
          <w:rFonts w:hint="eastAsia" w:ascii="仿宋_GB2312" w:hAnsi="仿宋_GB2312" w:eastAsia="仿宋_GB2312" w:cs="仿宋_GB2312"/>
          <w:color w:val="auto"/>
          <w:sz w:val="32"/>
          <w:szCs w:val="32"/>
          <w:highlight w:val="none"/>
          <w:lang w:val="en-US" w:eastAsia="zh-CN"/>
        </w:rPr>
        <w:t>16</w:t>
      </w:r>
      <w:bookmarkStart w:id="0" w:name="_GoBack"/>
      <w:bookmarkEnd w:id="0"/>
      <w:r>
        <w:rPr>
          <w:rFonts w:hint="eastAsia" w:ascii="仿宋_GB2312" w:hAnsi="仿宋_GB2312" w:eastAsia="仿宋_GB2312" w:cs="仿宋_GB2312"/>
          <w:color w:val="auto"/>
          <w:sz w:val="32"/>
          <w:szCs w:val="32"/>
          <w:highlight w:val="none"/>
        </w:rPr>
        <w:t>日</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lang w:val="en-US" w:eastAsia="zh-CN"/>
        </w:rPr>
      </w:pPr>
    </w:p>
    <w:sectPr>
      <w:pgSz w:w="11906" w:h="16838"/>
      <w:pgMar w:top="1701" w:right="1474" w:bottom="1134"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A4B10B5-13CC-4E4D-8692-3249B8DB04A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embedRegular r:id="rId2" w:fontKey="{CB71334E-D28F-4478-B361-8C745F695D22}"/>
  </w:font>
  <w:font w:name="仿宋_GB2312">
    <w:panose1 w:val="02010609030101010101"/>
    <w:charset w:val="86"/>
    <w:family w:val="modern"/>
    <w:pitch w:val="default"/>
    <w:sig w:usb0="00000001" w:usb1="080E0000" w:usb2="00000000" w:usb3="00000000" w:csb0="00040000" w:csb1="00000000"/>
    <w:embedRegular r:id="rId3" w:fontKey="{826244ED-B6DD-4AB7-BBA9-FE24B9CC55BA}"/>
  </w:font>
  <w:font w:name="楷体_GB2312">
    <w:panose1 w:val="02010609030101010101"/>
    <w:charset w:val="86"/>
    <w:family w:val="auto"/>
    <w:pitch w:val="default"/>
    <w:sig w:usb0="00000001" w:usb1="080E0000" w:usb2="00000000" w:usb3="00000000" w:csb0="00040000" w:csb1="00000000"/>
    <w:embedRegular r:id="rId4" w:fontKey="{8BA96320-CF4B-4051-95B2-6943FB1E1451}"/>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wYjY0YzFiOGNlZmZmZDRmOTI5OTViNmEwYTk4MmEifQ=="/>
  </w:docVars>
  <w:rsids>
    <w:rsidRoot w:val="00C80EAD"/>
    <w:rsid w:val="000349B3"/>
    <w:rsid w:val="0004083A"/>
    <w:rsid w:val="00087BE1"/>
    <w:rsid w:val="000933CC"/>
    <w:rsid w:val="001B648B"/>
    <w:rsid w:val="001B651C"/>
    <w:rsid w:val="002547C2"/>
    <w:rsid w:val="00273254"/>
    <w:rsid w:val="002A361A"/>
    <w:rsid w:val="002B1867"/>
    <w:rsid w:val="002E32CC"/>
    <w:rsid w:val="00307A95"/>
    <w:rsid w:val="00307F72"/>
    <w:rsid w:val="003322F1"/>
    <w:rsid w:val="003425CB"/>
    <w:rsid w:val="003753B7"/>
    <w:rsid w:val="003B6373"/>
    <w:rsid w:val="003B64D3"/>
    <w:rsid w:val="003C1BA0"/>
    <w:rsid w:val="003D6498"/>
    <w:rsid w:val="00446A2C"/>
    <w:rsid w:val="004D5908"/>
    <w:rsid w:val="0053422F"/>
    <w:rsid w:val="00553BA4"/>
    <w:rsid w:val="00567BA6"/>
    <w:rsid w:val="005B1523"/>
    <w:rsid w:val="005D08AC"/>
    <w:rsid w:val="00615C26"/>
    <w:rsid w:val="00650D47"/>
    <w:rsid w:val="006758B8"/>
    <w:rsid w:val="006A0BB6"/>
    <w:rsid w:val="006F5406"/>
    <w:rsid w:val="00712C53"/>
    <w:rsid w:val="00730864"/>
    <w:rsid w:val="00773520"/>
    <w:rsid w:val="007741AB"/>
    <w:rsid w:val="007C0973"/>
    <w:rsid w:val="007E5065"/>
    <w:rsid w:val="00812C7E"/>
    <w:rsid w:val="00891F68"/>
    <w:rsid w:val="009078D9"/>
    <w:rsid w:val="00951A9B"/>
    <w:rsid w:val="009638A9"/>
    <w:rsid w:val="00AB03C0"/>
    <w:rsid w:val="00AF69E8"/>
    <w:rsid w:val="00B32F29"/>
    <w:rsid w:val="00B76CC0"/>
    <w:rsid w:val="00BF52BD"/>
    <w:rsid w:val="00C12E0C"/>
    <w:rsid w:val="00C17B7E"/>
    <w:rsid w:val="00C50975"/>
    <w:rsid w:val="00C807D7"/>
    <w:rsid w:val="00C80EAD"/>
    <w:rsid w:val="00CF2FD4"/>
    <w:rsid w:val="00D23242"/>
    <w:rsid w:val="00D77835"/>
    <w:rsid w:val="00DF6298"/>
    <w:rsid w:val="00DF74DF"/>
    <w:rsid w:val="00E01C60"/>
    <w:rsid w:val="00EB1E1D"/>
    <w:rsid w:val="00F72CA9"/>
    <w:rsid w:val="00F9566A"/>
    <w:rsid w:val="00FC714C"/>
    <w:rsid w:val="00FF5C08"/>
    <w:rsid w:val="01437C9C"/>
    <w:rsid w:val="01453A14"/>
    <w:rsid w:val="01AE15BA"/>
    <w:rsid w:val="02A12ECC"/>
    <w:rsid w:val="03092820"/>
    <w:rsid w:val="03200295"/>
    <w:rsid w:val="03323B24"/>
    <w:rsid w:val="035C76DA"/>
    <w:rsid w:val="04131BA8"/>
    <w:rsid w:val="045D2E23"/>
    <w:rsid w:val="04AE7B23"/>
    <w:rsid w:val="04DE423D"/>
    <w:rsid w:val="05E76E48"/>
    <w:rsid w:val="062956B3"/>
    <w:rsid w:val="06654211"/>
    <w:rsid w:val="067B1C86"/>
    <w:rsid w:val="081232D5"/>
    <w:rsid w:val="08CA47FF"/>
    <w:rsid w:val="094620D8"/>
    <w:rsid w:val="097906FF"/>
    <w:rsid w:val="0ABB08A3"/>
    <w:rsid w:val="0B474EF2"/>
    <w:rsid w:val="0B7967FE"/>
    <w:rsid w:val="0C087B18"/>
    <w:rsid w:val="0C430B50"/>
    <w:rsid w:val="0D094B53"/>
    <w:rsid w:val="0D1A3FA7"/>
    <w:rsid w:val="0D605732"/>
    <w:rsid w:val="0D6C40D7"/>
    <w:rsid w:val="0DC864D6"/>
    <w:rsid w:val="0F8A6A96"/>
    <w:rsid w:val="103435D2"/>
    <w:rsid w:val="106A2B50"/>
    <w:rsid w:val="10EC5C5A"/>
    <w:rsid w:val="11156BD0"/>
    <w:rsid w:val="11CC783A"/>
    <w:rsid w:val="12490E8B"/>
    <w:rsid w:val="12D20E80"/>
    <w:rsid w:val="12E36BE9"/>
    <w:rsid w:val="13763F01"/>
    <w:rsid w:val="137E5204"/>
    <w:rsid w:val="14B940A6"/>
    <w:rsid w:val="14BE14FD"/>
    <w:rsid w:val="15B14D7D"/>
    <w:rsid w:val="16461969"/>
    <w:rsid w:val="16B8213B"/>
    <w:rsid w:val="17514A69"/>
    <w:rsid w:val="17C074F9"/>
    <w:rsid w:val="18381EC4"/>
    <w:rsid w:val="18441ED8"/>
    <w:rsid w:val="18E831AB"/>
    <w:rsid w:val="194303E2"/>
    <w:rsid w:val="196D545F"/>
    <w:rsid w:val="1A1B135F"/>
    <w:rsid w:val="1A9D7FC6"/>
    <w:rsid w:val="1B8A22F8"/>
    <w:rsid w:val="1BC25F36"/>
    <w:rsid w:val="1BC53330"/>
    <w:rsid w:val="1C6A3ED7"/>
    <w:rsid w:val="1CD83537"/>
    <w:rsid w:val="1D266050"/>
    <w:rsid w:val="1D532BBD"/>
    <w:rsid w:val="1E1E766F"/>
    <w:rsid w:val="1E676920"/>
    <w:rsid w:val="1FE90291"/>
    <w:rsid w:val="1FFE1506"/>
    <w:rsid w:val="21562C7C"/>
    <w:rsid w:val="23B75C54"/>
    <w:rsid w:val="242C4821"/>
    <w:rsid w:val="24425B9F"/>
    <w:rsid w:val="24AF4B7D"/>
    <w:rsid w:val="24CC572F"/>
    <w:rsid w:val="268F110A"/>
    <w:rsid w:val="26E1123A"/>
    <w:rsid w:val="27421CD9"/>
    <w:rsid w:val="27750300"/>
    <w:rsid w:val="27C546B8"/>
    <w:rsid w:val="27EB05C2"/>
    <w:rsid w:val="28E76FDC"/>
    <w:rsid w:val="28EF7C3E"/>
    <w:rsid w:val="29143B49"/>
    <w:rsid w:val="2A6603D4"/>
    <w:rsid w:val="2AC33130"/>
    <w:rsid w:val="2AFB4FC0"/>
    <w:rsid w:val="2B5E3567"/>
    <w:rsid w:val="2B674404"/>
    <w:rsid w:val="2B6F5066"/>
    <w:rsid w:val="2C6B3A80"/>
    <w:rsid w:val="2DA336ED"/>
    <w:rsid w:val="2F3B1E2F"/>
    <w:rsid w:val="2F9E23BE"/>
    <w:rsid w:val="2FE53B49"/>
    <w:rsid w:val="31747780"/>
    <w:rsid w:val="31C14142"/>
    <w:rsid w:val="31C854D0"/>
    <w:rsid w:val="327A0EC0"/>
    <w:rsid w:val="33AD1E6B"/>
    <w:rsid w:val="34160775"/>
    <w:rsid w:val="343432F1"/>
    <w:rsid w:val="3542559A"/>
    <w:rsid w:val="35673A3A"/>
    <w:rsid w:val="36435A6D"/>
    <w:rsid w:val="37963C65"/>
    <w:rsid w:val="37AB38CA"/>
    <w:rsid w:val="38367638"/>
    <w:rsid w:val="386F2B4A"/>
    <w:rsid w:val="38A8605B"/>
    <w:rsid w:val="392A081F"/>
    <w:rsid w:val="39311BAD"/>
    <w:rsid w:val="393D0552"/>
    <w:rsid w:val="39B27192"/>
    <w:rsid w:val="3AB15F18"/>
    <w:rsid w:val="3B5F50F7"/>
    <w:rsid w:val="3C544530"/>
    <w:rsid w:val="3E304B29"/>
    <w:rsid w:val="410D4CAE"/>
    <w:rsid w:val="41156AC3"/>
    <w:rsid w:val="41523008"/>
    <w:rsid w:val="417B255F"/>
    <w:rsid w:val="41F67E38"/>
    <w:rsid w:val="42254279"/>
    <w:rsid w:val="442E5667"/>
    <w:rsid w:val="459A48CD"/>
    <w:rsid w:val="45EA380F"/>
    <w:rsid w:val="47376F28"/>
    <w:rsid w:val="47AD71EA"/>
    <w:rsid w:val="48217291"/>
    <w:rsid w:val="483B0352"/>
    <w:rsid w:val="4889645B"/>
    <w:rsid w:val="48F905A6"/>
    <w:rsid w:val="4921579A"/>
    <w:rsid w:val="49331971"/>
    <w:rsid w:val="49465201"/>
    <w:rsid w:val="4AF20303"/>
    <w:rsid w:val="4BCF5981"/>
    <w:rsid w:val="4C72630D"/>
    <w:rsid w:val="4D8B158E"/>
    <w:rsid w:val="4DA77659"/>
    <w:rsid w:val="4E487C6D"/>
    <w:rsid w:val="4F670D61"/>
    <w:rsid w:val="4F74027A"/>
    <w:rsid w:val="4FF0236A"/>
    <w:rsid w:val="510F6820"/>
    <w:rsid w:val="51524110"/>
    <w:rsid w:val="52BB6C5F"/>
    <w:rsid w:val="53AB0A82"/>
    <w:rsid w:val="53CF3929"/>
    <w:rsid w:val="53FF0DCE"/>
    <w:rsid w:val="54DE6C35"/>
    <w:rsid w:val="553700F3"/>
    <w:rsid w:val="5572737D"/>
    <w:rsid w:val="56270168"/>
    <w:rsid w:val="563B3C13"/>
    <w:rsid w:val="56AB2B47"/>
    <w:rsid w:val="58311772"/>
    <w:rsid w:val="5BB26726"/>
    <w:rsid w:val="5BC87CF7"/>
    <w:rsid w:val="5BEA5EBF"/>
    <w:rsid w:val="5D850596"/>
    <w:rsid w:val="5E857313"/>
    <w:rsid w:val="5EDB5F93"/>
    <w:rsid w:val="60B116A2"/>
    <w:rsid w:val="611834CF"/>
    <w:rsid w:val="611C2FBF"/>
    <w:rsid w:val="61C55405"/>
    <w:rsid w:val="62CD2097"/>
    <w:rsid w:val="634467FD"/>
    <w:rsid w:val="63DA4A6C"/>
    <w:rsid w:val="641E704E"/>
    <w:rsid w:val="64EE4C72"/>
    <w:rsid w:val="65592381"/>
    <w:rsid w:val="65847385"/>
    <w:rsid w:val="65CB0B10"/>
    <w:rsid w:val="6646463A"/>
    <w:rsid w:val="664663E8"/>
    <w:rsid w:val="676A4E9C"/>
    <w:rsid w:val="68183DB4"/>
    <w:rsid w:val="68A85138"/>
    <w:rsid w:val="68B166E3"/>
    <w:rsid w:val="6987046D"/>
    <w:rsid w:val="69B63885"/>
    <w:rsid w:val="69F10D61"/>
    <w:rsid w:val="6A5F5CCB"/>
    <w:rsid w:val="6AAD6A36"/>
    <w:rsid w:val="6C6C46CF"/>
    <w:rsid w:val="6C8B724B"/>
    <w:rsid w:val="6D793547"/>
    <w:rsid w:val="6E663ACB"/>
    <w:rsid w:val="6FF46EB5"/>
    <w:rsid w:val="713779A1"/>
    <w:rsid w:val="71BB2380"/>
    <w:rsid w:val="724E4FA2"/>
    <w:rsid w:val="74404DBF"/>
    <w:rsid w:val="750C0BC2"/>
    <w:rsid w:val="76B4114C"/>
    <w:rsid w:val="76FA74A7"/>
    <w:rsid w:val="77B91110"/>
    <w:rsid w:val="77C86C97"/>
    <w:rsid w:val="78397B5B"/>
    <w:rsid w:val="784F737E"/>
    <w:rsid w:val="79864DD2"/>
    <w:rsid w:val="79A656C4"/>
    <w:rsid w:val="7A97500D"/>
    <w:rsid w:val="7AC027B5"/>
    <w:rsid w:val="7AC06141"/>
    <w:rsid w:val="7AED2E7F"/>
    <w:rsid w:val="7B29035B"/>
    <w:rsid w:val="7B5D6256"/>
    <w:rsid w:val="7CB1685A"/>
    <w:rsid w:val="7DB76FA7"/>
    <w:rsid w:val="7FFF5B2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iPriority="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5"/>
    <w:semiHidden/>
    <w:qFormat/>
    <w:uiPriority w:val="99"/>
    <w:rPr>
      <w:sz w:val="18"/>
      <w:szCs w:val="18"/>
    </w:rPr>
  </w:style>
  <w:style w:type="paragraph" w:styleId="3">
    <w:name w:val="footer"/>
    <w:basedOn w:val="1"/>
    <w:link w:val="10"/>
    <w:semiHidden/>
    <w:qFormat/>
    <w:uiPriority w:val="99"/>
    <w:pPr>
      <w:tabs>
        <w:tab w:val="center" w:pos="4153"/>
        <w:tab w:val="right" w:pos="8306"/>
      </w:tabs>
      <w:snapToGrid w:val="0"/>
      <w:jc w:val="left"/>
    </w:pPr>
    <w:rPr>
      <w:sz w:val="18"/>
      <w:szCs w:val="18"/>
    </w:rPr>
  </w:style>
  <w:style w:type="paragraph" w:styleId="4">
    <w:name w:val="header"/>
    <w:basedOn w:val="1"/>
    <w:link w:val="9"/>
    <w:semiHidden/>
    <w:qFormat/>
    <w:uiPriority w:val="99"/>
    <w:pPr>
      <w:pBdr>
        <w:bottom w:val="single" w:color="auto" w:sz="6" w:space="1"/>
      </w:pBdr>
      <w:tabs>
        <w:tab w:val="center" w:pos="4153"/>
        <w:tab w:val="right" w:pos="8306"/>
      </w:tabs>
      <w:snapToGrid w:val="0"/>
      <w:jc w:val="center"/>
    </w:pPr>
    <w:rPr>
      <w:sz w:val="18"/>
      <w:szCs w:val="18"/>
    </w:rPr>
  </w:style>
  <w:style w:type="paragraph" w:styleId="5">
    <w:name w:val="HTML Preformatted"/>
    <w:basedOn w:val="1"/>
    <w:link w:val="17"/>
    <w:semiHidden/>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9">
    <w:name w:val="页眉 字符"/>
    <w:basedOn w:val="8"/>
    <w:link w:val="4"/>
    <w:semiHidden/>
    <w:qFormat/>
    <w:locked/>
    <w:uiPriority w:val="99"/>
    <w:rPr>
      <w:sz w:val="18"/>
      <w:szCs w:val="18"/>
    </w:rPr>
  </w:style>
  <w:style w:type="character" w:customStyle="1" w:styleId="10">
    <w:name w:val="页脚 字符"/>
    <w:basedOn w:val="8"/>
    <w:link w:val="3"/>
    <w:semiHidden/>
    <w:qFormat/>
    <w:locked/>
    <w:uiPriority w:val="99"/>
    <w:rPr>
      <w:sz w:val="18"/>
      <w:szCs w:val="18"/>
    </w:rPr>
  </w:style>
  <w:style w:type="paragraph" w:customStyle="1" w:styleId="11">
    <w:name w:val="arc_info"/>
    <w:basedOn w:val="1"/>
    <w:qFormat/>
    <w:uiPriority w:val="99"/>
    <w:pPr>
      <w:widowControl/>
      <w:pBdr>
        <w:top w:val="dashed" w:color="D8D8D8" w:sz="6" w:space="0"/>
        <w:bottom w:val="dashed" w:color="D8D8D8" w:sz="6" w:space="0"/>
      </w:pBdr>
      <w:spacing w:line="525" w:lineRule="atLeast"/>
      <w:ind w:left="375" w:right="375"/>
      <w:jc w:val="center"/>
    </w:pPr>
    <w:rPr>
      <w:rFonts w:ascii="宋体" w:hAnsi="宋体" w:cs="宋体"/>
      <w:color w:val="333333"/>
      <w:kern w:val="0"/>
      <w:sz w:val="24"/>
      <w:szCs w:val="24"/>
    </w:rPr>
  </w:style>
  <w:style w:type="character" w:customStyle="1" w:styleId="12">
    <w:name w:val="small1"/>
    <w:basedOn w:val="8"/>
    <w:qFormat/>
    <w:uiPriority w:val="99"/>
  </w:style>
  <w:style w:type="character" w:customStyle="1" w:styleId="13">
    <w:name w:val="middle1"/>
    <w:basedOn w:val="8"/>
    <w:qFormat/>
    <w:uiPriority w:val="99"/>
  </w:style>
  <w:style w:type="character" w:customStyle="1" w:styleId="14">
    <w:name w:val="big1"/>
    <w:basedOn w:val="8"/>
    <w:qFormat/>
    <w:uiPriority w:val="99"/>
  </w:style>
  <w:style w:type="character" w:customStyle="1" w:styleId="15">
    <w:name w:val="批注框文本 字符"/>
    <w:basedOn w:val="8"/>
    <w:link w:val="2"/>
    <w:semiHidden/>
    <w:qFormat/>
    <w:locked/>
    <w:uiPriority w:val="99"/>
    <w:rPr>
      <w:sz w:val="18"/>
      <w:szCs w:val="18"/>
    </w:rPr>
  </w:style>
  <w:style w:type="paragraph" w:customStyle="1" w:styleId="16">
    <w:name w:val="Char"/>
    <w:basedOn w:val="1"/>
    <w:qFormat/>
    <w:uiPriority w:val="99"/>
    <w:rPr>
      <w:rFonts w:ascii="Times New Roman" w:hAnsi="Times New Roman" w:cs="Times New Roman"/>
    </w:rPr>
  </w:style>
  <w:style w:type="character" w:customStyle="1" w:styleId="17">
    <w:name w:val="HTML 预设格式 字符"/>
    <w:basedOn w:val="8"/>
    <w:link w:val="5"/>
    <w:semiHidden/>
    <w:qFormat/>
    <w:uiPriority w:val="99"/>
    <w:rPr>
      <w:rFonts w:ascii="宋体" w:hAnsi="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Pages>
  <Words>991</Words>
  <Characters>1050</Characters>
  <Lines>17</Lines>
  <Paragraphs>4</Paragraphs>
  <TotalTime>23</TotalTime>
  <ScaleCrop>false</ScaleCrop>
  <LinksUpToDate>false</LinksUpToDate>
  <CharactersWithSpaces>1090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2016-08-16T06:20:00Z</dcterms:created>
  <dc:creator>Lenovo</dc:creator>
  <cp:lastModifiedBy>2</cp:lastModifiedBy>
  <cp:lastPrinted>2016-08-16T07:07:00Z</cp:lastPrinted>
  <dcterms:modified xsi:type="dcterms:W3CDTF">2024-07-16T08:56:42Z</dcterms:modified>
  <dc:title>关于成立药品不良反应监测工作领导小组的通知</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F957BC99D9C7451785C23F1A342A1936</vt:lpwstr>
  </property>
</Properties>
</file>