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hint="eastAsia" w:ascii="宋体" w:hAnsi="宋体"/>
          <w:b/>
          <w:color w:val="FF0000"/>
          <w:spacing w:val="91"/>
          <w:sz w:val="52"/>
          <w:szCs w:val="52"/>
        </w:rPr>
      </w:pPr>
      <w:r>
        <w:rPr>
          <w:rFonts w:hint="eastAsia" w:ascii="宋体" w:hAnsi="宋体"/>
          <w:b/>
          <w:color w:val="FF0000"/>
          <w:spacing w:val="91"/>
          <w:sz w:val="2"/>
          <w:szCs w:val="2"/>
        </w:rPr>
        <w:t xml:space="preserve"> </w:t>
      </w:r>
      <w:r>
        <w:rPr>
          <w:rFonts w:hint="eastAsia" w:ascii="方正小标宋_GBK" w:hAnsi="方正小标宋_GBK" w:eastAsia="方正小标宋_GBK" w:cs="方正小标宋_GBK"/>
          <w:b/>
          <w:color w:val="FF0000"/>
          <w:spacing w:val="91"/>
          <w:sz w:val="52"/>
          <w:szCs w:val="52"/>
        </w:rPr>
        <w:t>深圳市福田区慢性病防治院</w:t>
      </w:r>
    </w:p>
    <w:p>
      <w:pPr>
        <w:spacing w:line="400" w:lineRule="exact"/>
        <w:jc w:val="center"/>
        <w:rPr>
          <w:rFonts w:hint="eastAsia" w:ascii="宋体" w:hAnsi="宋体"/>
          <w:b/>
          <w:color w:val="FF0000"/>
          <w:sz w:val="48"/>
          <w:szCs w:val="48"/>
        </w:rPr>
      </w:pPr>
      <w:r>
        <w:rPr>
          <w:rFonts w:hint="eastAsia" w:ascii="宋体" w:hAnsi="宋体"/>
          <w:b/>
          <w:color w:val="FF0000"/>
          <w:sz w:val="48"/>
          <w:szCs w:val="48"/>
        </w:rPr>
        <mc:AlternateContent>
          <mc:Choice Requires="wps">
            <w:drawing>
              <wp:anchor distT="0" distB="0" distL="114300" distR="114300" simplePos="0" relativeHeight="251659264" behindDoc="0" locked="0" layoutInCell="1" allowOverlap="1">
                <wp:simplePos x="0" y="0"/>
                <wp:positionH relativeFrom="column">
                  <wp:posOffset>-201295</wp:posOffset>
                </wp:positionH>
                <wp:positionV relativeFrom="paragraph">
                  <wp:posOffset>13335</wp:posOffset>
                </wp:positionV>
                <wp:extent cx="6120130" cy="635"/>
                <wp:effectExtent l="0" t="28575" r="13970" b="46990"/>
                <wp:wrapNone/>
                <wp:docPr id="1" name="直接连接符 1"/>
                <wp:cNvGraphicFramePr/>
                <a:graphic xmlns:a="http://schemas.openxmlformats.org/drawingml/2006/main">
                  <a:graphicData uri="http://schemas.microsoft.com/office/word/2010/wordprocessingShape">
                    <wps:wsp>
                      <wps:cNvCnPr/>
                      <wps:spPr>
                        <a:xfrm>
                          <a:off x="0" y="0"/>
                          <a:ext cx="6120130" cy="635"/>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85pt;margin-top:1.05pt;height:0.05pt;width:481.9pt;z-index:251659264;mso-width-relative:page;mso-height-relative:page;" filled="f" stroked="t" coordsize="21600,21600" o:gfxdata="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2IVonSAAAABwEAAA8AAAAAAAAAAQAgAAAAIgAAAGRycy9kb3ducmV2Lnht&#10;bFBLAQIUABQAAAAIAIdO4kDflZkR/wEAAPsDAAAOAAAAAAAAAAEAIAAAACEBAABkcnMvZTJvRG9j&#10;LnhtbFBLBQYAAAAABgAGAFkBAACSBQAAAAA=&#10;">
                <v:fill on="f" focussize="0,0"/>
                <v:stroke weight="4.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深圳市福田区慢性病防治院</w:t>
      </w:r>
    </w:p>
    <w:p>
      <w:pPr>
        <w:keepNext w:val="0"/>
        <w:keepLines w:val="0"/>
        <w:pageBreakBefore w:val="0"/>
        <w:widowControl w:val="0"/>
        <w:kinsoku/>
        <w:wordWrap/>
        <w:overflowPunct/>
        <w:topLinePunct w:val="0"/>
        <w:autoSpaceDE/>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关于检验科迈瑞血常规、过敏原检测仪等试剂耗材公开采购遴选的公告</w:t>
      </w:r>
    </w:p>
    <w:p>
      <w:pPr>
        <w:keepNext w:val="0"/>
        <w:keepLines w:val="0"/>
        <w:pageBreakBefore w:val="0"/>
        <w:widowControl w:val="0"/>
        <w:kinsoku/>
        <w:wordWrap/>
        <w:overflowPunct/>
        <w:topLinePunct w:val="0"/>
        <w:autoSpaceDE/>
        <w:bidi w:val="0"/>
        <w:adjustRightInd/>
        <w:snapToGrid/>
        <w:spacing w:line="560" w:lineRule="exact"/>
        <w:ind w:firstLine="880" w:firstLineChars="200"/>
        <w:jc w:val="center"/>
        <w:textAlignment w:val="auto"/>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深圳市福田区慢性病防治院拟</w:t>
      </w:r>
      <w:r>
        <w:rPr>
          <w:rFonts w:hint="eastAsia" w:ascii="仿宋_GB2312" w:hAnsi="仿宋_GB2312" w:eastAsia="仿宋_GB2312" w:cs="仿宋_GB2312"/>
          <w:sz w:val="32"/>
          <w:szCs w:val="32"/>
          <w:lang w:val="en-US" w:eastAsia="zh-CN"/>
        </w:rPr>
        <w:t>公开采购检验科迈瑞血常规、过敏原检测仪等试剂耗材</w:t>
      </w:r>
      <w:r>
        <w:rPr>
          <w:rFonts w:hint="eastAsia" w:ascii="仿宋_GB2312" w:hAnsi="仿宋_GB2312" w:eastAsia="仿宋_GB2312" w:cs="仿宋_GB2312"/>
          <w:sz w:val="32"/>
          <w:szCs w:val="32"/>
          <w:lang w:eastAsia="zh-CN"/>
        </w:rPr>
        <w:t>，欢迎符合资格条件的厂家和供应商积极参与竞争，提交资料报名。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一、基本要求</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医疗器械各项耗材原则上优先选择深圳市医用阳光采购交易平台目录内产品，所投产品须填写市阳光平台交易产品代码。若有项目已纳入国家或省市集中采购、价格优势专区目录内，则在集中采购、价格优势专区目录的中选产品中进行遴选。非医疗器械各项耗材须为满足相关业务的产品。</w:t>
      </w:r>
    </w:p>
    <w:p>
      <w:pPr>
        <w:keepNext w:val="0"/>
        <w:keepLines w:val="0"/>
        <w:pageBreakBefore w:val="0"/>
        <w:widowControl w:val="0"/>
        <w:numPr>
          <w:ilvl w:val="0"/>
          <w:numId w:val="1"/>
        </w:numPr>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项目基本情况</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项目名称：深圳市福田区慢性病防治院关于检验科迈瑞血常规、过敏原检测仪等试剂耗材采购项目</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项目编号：</w:t>
      </w:r>
      <w:r>
        <w:rPr>
          <w:rFonts w:hint="eastAsia" w:ascii="仿宋_GB2312" w:hAnsi="仿宋_GB2312" w:eastAsia="仿宋_GB2312" w:cs="仿宋_GB2312"/>
          <w:color w:val="auto"/>
          <w:sz w:val="32"/>
          <w:szCs w:val="32"/>
          <w:highlight w:val="none"/>
          <w:lang w:eastAsia="zh-CN"/>
        </w:rPr>
        <w:t>FTMB-HC-202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9</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项目需求清单：</w:t>
      </w: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60288" behindDoc="1" locked="0" layoutInCell="1" allowOverlap="1">
                <wp:simplePos x="0" y="0"/>
                <wp:positionH relativeFrom="column">
                  <wp:posOffset>-211455</wp:posOffset>
                </wp:positionH>
                <wp:positionV relativeFrom="paragraph">
                  <wp:posOffset>1294765</wp:posOffset>
                </wp:positionV>
                <wp:extent cx="6120130" cy="635"/>
                <wp:effectExtent l="0" t="28575" r="13970" b="46990"/>
                <wp:wrapThrough wrapText="bothSides">
                  <wp:wrapPolygon>
                    <wp:start x="0" y="-972000"/>
                    <wp:lineTo x="0" y="324000"/>
                    <wp:lineTo x="21515" y="324000"/>
                    <wp:lineTo x="21515" y="-972000"/>
                    <wp:lineTo x="0" y="-972000"/>
                  </wp:wrapPolygon>
                </wp:wrapThrough>
                <wp:docPr id="2" name="直接连接符 2"/>
                <wp:cNvGraphicFramePr/>
                <a:graphic xmlns:a="http://schemas.openxmlformats.org/drawingml/2006/main">
                  <a:graphicData uri="http://schemas.microsoft.com/office/word/2010/wordprocessingShape">
                    <wps:wsp>
                      <wps:cNvCnPr/>
                      <wps:spPr>
                        <a:xfrm>
                          <a:off x="0" y="0"/>
                          <a:ext cx="6120130" cy="635"/>
                        </a:xfrm>
                        <a:prstGeom prst="line">
                          <a:avLst/>
                        </a:prstGeom>
                        <a:ln w="57150" cap="flat" cmpd="thinThick">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6.65pt;margin-top:101.95pt;height:0.05pt;width:481.9pt;mso-wrap-distance-left:9pt;mso-wrap-distance-right:9pt;z-index:-251656192;mso-width-relative:page;mso-height-relative:page;" filled="f" stroked="t" coordsize="21600,21600" wrapcoords="0 -972000 0 324000 21515 324000 21515 -972000 0 -972000" o:gfxdata="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BpQNG2AAAAAsBAAAPAAAAAAAAAAEAIAAAACIAAABkcnMvZG93&#10;bnJldi54bWxQSwECFAAUAAAACACHTuJAvgJIygACAAD7AwAADgAAAAAAAAABACAAAAAnAQAAZHJz&#10;L2Uyb0RvYy54bWxQSwUGAAAAAAYABgBZAQAAmQUAAAAA&#10;">
                <v:fill on="f" focussize="0,0"/>
                <v:stroke weight="4.5pt" color="#FF0000" linestyle="thinThick" joinstyle="round"/>
                <v:imagedata o:title=""/>
                <o:lock v:ext="edit" aspectratio="f"/>
                <w10:wrap type="through"/>
              </v:line>
            </w:pict>
          </mc:Fallback>
        </mc:AlternateContent>
      </w:r>
    </w:p>
    <w:tbl>
      <w:tblPr>
        <w:tblStyle w:val="7"/>
        <w:tblW w:w="96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0"/>
        <w:gridCol w:w="1663"/>
        <w:gridCol w:w="1016"/>
        <w:gridCol w:w="2638"/>
        <w:gridCol w:w="1917"/>
        <w:gridCol w:w="1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1"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物资编码ID</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物资名称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参考单位</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参考规格型号</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备注</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最高限价（元）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X-2001</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M-68LD溶血剂(中文/4L×1)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4L×1/箱</w:t>
            </w:r>
          </w:p>
        </w:tc>
        <w:tc>
          <w:tcPr>
            <w:tcW w:w="1917"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检验科迈瑞BC-6800使用</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2077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X-2002</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M-68LB溶血剂(中文/4L×1)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4L×1/箱</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2465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X-2003</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M-68LH溶血剂(中文/1L×4)</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1L×4/箱</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3115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X-2004</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M-68FD染色液(中文/48mL×1)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48mL×1/箱</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2423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X-2005</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DS稀释液(中文/20L×1)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20L×1</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X-2006</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BC-6D质控物(国内/中值/4.5mL×1)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4.5mL*1</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X-2007</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BC-6D质控物(国内/低值/4.5mL×1)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4.5mL*1</w:t>
            </w:r>
          </w:p>
        </w:tc>
        <w:tc>
          <w:tcPr>
            <w:tcW w:w="1917" w:type="dxa"/>
            <w:vMerge w:val="continue"/>
            <w:tcBorders>
              <w:left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X-2008</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BC-6D质控物(国内/高值/4.5mL×1)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4.5mL*1</w:t>
            </w:r>
          </w:p>
        </w:tc>
        <w:tc>
          <w:tcPr>
            <w:tcW w:w="1917"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X-2009</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2"/>
                <w:szCs w:val="22"/>
                <w:u w:val="none"/>
                <w:lang w:val="en-US" w:eastAsia="zh-CN" w:bidi="ar"/>
              </w:rPr>
            </w:pPr>
            <w:r>
              <w:rPr>
                <w:rFonts w:hint="eastAsia" w:ascii="仿宋_GB2312" w:hAnsi="仿宋_GB2312" w:eastAsia="仿宋_GB2312" w:cs="仿宋_GB2312"/>
                <w:i w:val="0"/>
                <w:iCs w:val="0"/>
                <w:color w:val="000000"/>
                <w:kern w:val="0"/>
                <w:sz w:val="22"/>
                <w:szCs w:val="22"/>
                <w:u w:val="none"/>
                <w:lang w:val="en-US" w:eastAsia="zh-CN" w:bidi="ar"/>
              </w:rPr>
              <w:t>探头清洁液(中文/50mL×1)</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箱</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50mL×1</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（非医疗器械）</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eastAsia="zh-CN"/>
              </w:rPr>
            </w:pPr>
            <w:r>
              <w:rPr>
                <w:rFonts w:hint="eastAsia" w:ascii="仿宋_GB2312" w:hAnsi="仿宋_GB2312" w:eastAsia="仿宋_GB2312" w:cs="仿宋_GB2312"/>
                <w:i w:val="0"/>
                <w:iCs w:val="0"/>
                <w:color w:val="000000"/>
                <w:sz w:val="28"/>
                <w:szCs w:val="28"/>
                <w:u w:val="none"/>
                <w:lang w:val="en-US" w:eastAsia="zh-CN"/>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X-2010</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过敏原特异性IgE抗体检测试剂盒（免疫印迹法）</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24人份/盒</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检验科德国敏筛Reader100型过敏原检测仪使用</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rPr>
            </w:pPr>
            <w:r>
              <w:rPr>
                <w:rFonts w:hint="eastAsia" w:ascii="仿宋_GB2312" w:hAnsi="仿宋_GB2312" w:eastAsia="仿宋_GB2312" w:cs="仿宋_GB2312"/>
                <w:i w:val="0"/>
                <w:iCs w:val="0"/>
                <w:color w:val="000000"/>
                <w:kern w:val="0"/>
                <w:sz w:val="28"/>
                <w:szCs w:val="28"/>
                <w:u w:val="none"/>
                <w:lang w:val="en-US" w:eastAsia="zh-CN" w:bidi="ar"/>
              </w:rPr>
              <w:t>5530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X-2011</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登革病毒NS1抗原检测试剂</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20人份 / 盒</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sz w:val="28"/>
                <w:szCs w:val="28"/>
                <w:u w:val="none"/>
                <w:lang w:val="en-US" w:eastAsia="zh-CN"/>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X-2012</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大便隐血检测试剂盒（胶体金免疫层析法）</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盒</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25人份 / 盒</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8"/>
                <w:szCs w:val="28"/>
                <w:u w:val="none"/>
                <w:lang w:val="en-US"/>
              </w:rPr>
            </w:pPr>
            <w:r>
              <w:rPr>
                <w:rFonts w:hint="eastAsia" w:ascii="仿宋_GB2312" w:hAnsi="仿宋_GB2312" w:eastAsia="仿宋_GB2312" w:cs="仿宋_GB2312"/>
                <w:i w:val="0"/>
                <w:iCs w:val="0"/>
                <w:color w:val="000000"/>
                <w:sz w:val="28"/>
                <w:szCs w:val="28"/>
                <w:u w:val="none"/>
                <w:lang w:val="en-US" w:eastAsia="zh-CN"/>
              </w:rPr>
              <w:t>75</w:t>
            </w:r>
          </w:p>
        </w:tc>
      </w:tr>
    </w:tbl>
    <w:p>
      <w:pPr>
        <w:keepNext w:val="0"/>
        <w:keepLines w:val="0"/>
        <w:pageBreakBefore w:val="0"/>
        <w:widowControl w:val="0"/>
        <w:numPr>
          <w:ilvl w:val="0"/>
          <w:numId w:val="0"/>
        </w:numPr>
        <w:kinsoku/>
        <w:wordWrap/>
        <w:overflowPunct/>
        <w:topLinePunct w:val="0"/>
        <w:autoSpaceDE/>
        <w:bidi w:val="0"/>
        <w:adjustRightInd/>
        <w:snapToGrid/>
        <w:spacing w:line="560" w:lineRule="exact"/>
        <w:ind w:firstLine="64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1"/>
        </w:numPr>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报名条件</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具有独立法人资格，依法取得《营业执照》、《医疗器械经营许可证》，具备所投产品的《医疗器械生产许可证》、《医疗器械产品注册证》、各级授权书、产品检测报告等。在近三年未因违规经营而受到处罚，有依法缴纳税收和社会保障资金的良好记录。</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公司（单位）法定代表人（负责人）为同一人或者存在直接控股、管理关系的不同供应商，不得同时参加本次项目采购活动。</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四、报名提交资料：</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提交加盖公章的相关资格资质证明文件1份（提供营业执照、法人代表授权委托书、授权代表近三个月的社保缴纳明细、市阳光平台配送资质的系统操作界面截屏等证明文件，具体要求详见附件2）。</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供应商递交的纸质及电子资料须按公开遴选文件（附件2）要求的格式和顺序排列，否则视为不合格。项目的所有文件电子版整合成1个PDF文件（命名格式：</w:t>
      </w:r>
      <w:r>
        <w:rPr>
          <w:rFonts w:hint="eastAsia" w:ascii="仿宋_GB2312" w:hAnsi="仿宋_GB2312" w:eastAsia="仿宋_GB2312" w:cs="仿宋_GB2312"/>
          <w:color w:val="auto"/>
          <w:sz w:val="32"/>
          <w:szCs w:val="32"/>
          <w:highlight w:val="none"/>
          <w:lang w:eastAsia="zh-CN"/>
        </w:rPr>
        <w:t>“FTMB-HC-202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+供应商名称”），其中供应商报名产品目录表需分别提供EXCEL电子版（具体要求详见附件3、4）。</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五、报名事项</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（一）报名时间：</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eastAsia="zh-CN"/>
        </w:rPr>
        <w:t>日下午5点前。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（二）报名方式：</w:t>
      </w:r>
      <w:r>
        <w:rPr>
          <w:rFonts w:hint="eastAsia" w:ascii="仿宋_GB2312" w:hAnsi="仿宋_GB2312" w:eastAsia="仿宋_GB2312" w:cs="仿宋_GB2312"/>
          <w:color w:val="auto"/>
          <w:sz w:val="32"/>
          <w:szCs w:val="32"/>
          <w:highlight w:val="none"/>
          <w:lang w:eastAsia="zh-CN"/>
        </w:rPr>
        <w:t>供应商电子版报名资料</w:t>
      </w:r>
      <w:r>
        <w:rPr>
          <w:rFonts w:hint="eastAsia" w:ascii="仿宋_GB2312" w:hAnsi="仿宋_GB2312" w:eastAsia="仿宋_GB2312" w:cs="仿宋_GB2312"/>
          <w:color w:val="auto"/>
          <w:sz w:val="32"/>
          <w:szCs w:val="32"/>
          <w:highlight w:val="none"/>
          <w:lang w:val="en-US" w:eastAsia="zh-CN"/>
        </w:rPr>
        <w:t>投递至报名邮箱，纸质资料投送至联系地址</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bidi w:val="0"/>
        <w:adjustRightInd/>
        <w:snapToGrid/>
        <w:spacing w:line="560" w:lineRule="exact"/>
        <w:ind w:firstLine="320" w:firstLineChars="1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color w:val="auto"/>
          <w:sz w:val="32"/>
          <w:szCs w:val="32"/>
          <w:highlight w:val="none"/>
          <w:lang w:eastAsia="zh-CN"/>
        </w:rPr>
        <w:t>　（三）联系人及联系方式：</w:t>
      </w:r>
      <w:r>
        <w:rPr>
          <w:rFonts w:hint="eastAsia" w:ascii="仿宋_GB2312" w:hAnsi="仿宋_GB2312" w:eastAsia="仿宋_GB2312" w:cs="仿宋_GB2312"/>
          <w:color w:val="auto"/>
          <w:sz w:val="32"/>
          <w:szCs w:val="32"/>
          <w:highlight w:val="none"/>
          <w:lang w:val="en-US" w:eastAsia="zh-CN"/>
        </w:rPr>
        <w:t>马晓楷</w:t>
      </w:r>
      <w:r>
        <w:rPr>
          <w:rFonts w:hint="eastAsia" w:ascii="仿宋_GB2312" w:hAnsi="仿宋_GB2312" w:eastAsia="仿宋_GB2312" w:cs="仿宋_GB2312"/>
          <w:color w:val="auto"/>
          <w:sz w:val="32"/>
          <w:szCs w:val="32"/>
          <w:highlight w:val="none"/>
          <w:lang w:eastAsia="zh-CN"/>
        </w:rPr>
        <w:t>，0755-8</w:t>
      </w:r>
      <w:r>
        <w:rPr>
          <w:rFonts w:hint="eastAsia" w:ascii="仿宋_GB2312" w:hAnsi="仿宋_GB2312" w:eastAsia="仿宋_GB2312" w:cs="仿宋_GB2312"/>
          <w:sz w:val="32"/>
          <w:szCs w:val="32"/>
          <w:lang w:eastAsia="zh-CN"/>
        </w:rPr>
        <w:t>3877023。</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邮箱：360186173@qq.com</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lang w:eastAsia="zh-CN"/>
        </w:rPr>
        <w:t>）联系地址：</w:t>
      </w:r>
      <w:r>
        <w:rPr>
          <w:rFonts w:hint="eastAsia" w:ascii="仿宋_GB2312" w:hAnsi="仿宋_GB2312" w:eastAsia="仿宋_GB2312" w:cs="仿宋_GB2312"/>
          <w:sz w:val="32"/>
          <w:szCs w:val="32"/>
          <w:lang w:eastAsia="zh-CN"/>
        </w:rPr>
        <w:t>深圳市福田区八卦路众鑫科技大厦16楼1602</w:t>
      </w:r>
      <w:r>
        <w:rPr>
          <w:rFonts w:hint="eastAsia" w:ascii="仿宋_GB2312" w:hAnsi="仿宋_GB2312" w:eastAsia="仿宋_GB2312" w:cs="仿宋_GB2312"/>
          <w:sz w:val="32"/>
          <w:szCs w:val="32"/>
          <w:lang w:val="en-US" w:eastAsia="zh-CN"/>
        </w:rPr>
        <w:t>招标采购办</w:t>
      </w:r>
      <w:r>
        <w:rPr>
          <w:rFonts w:hint="eastAsia" w:ascii="仿宋_GB2312" w:hAnsi="仿宋_GB2312" w:eastAsia="仿宋_GB2312" w:cs="仿宋_GB2312"/>
          <w:sz w:val="32"/>
          <w:szCs w:val="32"/>
          <w:lang w:eastAsia="zh-CN"/>
        </w:rPr>
        <w:t>（工作时间：周一至周五，上午8：00-12：00，下午14：00-17：00，法定节假日除外）。</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六、其他事项</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请按要求充分准备及核实相关资料，按顺序装订好相关资料；如资料不全、不清晰或审核不合格者，视为无效报名。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申请人必须对所提供的材料真实性、准确性、合法性负责（须提交承诺函，盖章），若有弄虚作假行为，一经查实，将取消遴选资格。</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试剂</w:t>
      </w:r>
      <w:r>
        <w:rPr>
          <w:rFonts w:hint="eastAsia" w:ascii="仿宋_GB2312" w:hAnsi="仿宋_GB2312" w:eastAsia="仿宋_GB2312" w:cs="仿宋_GB2312"/>
          <w:sz w:val="32"/>
          <w:szCs w:val="32"/>
        </w:rPr>
        <w:t>耗材</w:t>
      </w:r>
      <w:r>
        <w:rPr>
          <w:rFonts w:hint="eastAsia" w:ascii="仿宋_GB2312" w:hAnsi="仿宋_GB2312" w:eastAsia="仿宋_GB2312" w:cs="仿宋_GB2312"/>
          <w:sz w:val="32"/>
          <w:szCs w:val="32"/>
          <w:lang w:val="en-US" w:eastAsia="zh-CN"/>
        </w:rPr>
        <w:t>采购需求</w:t>
      </w:r>
      <w:r>
        <w:rPr>
          <w:rFonts w:hint="eastAsia" w:ascii="仿宋_GB2312" w:hAnsi="仿宋_GB2312" w:eastAsia="仿宋_GB2312" w:cs="仿宋_GB2312"/>
          <w:sz w:val="32"/>
          <w:szCs w:val="32"/>
        </w:rPr>
        <w:t>目录</w:t>
      </w:r>
    </w:p>
    <w:p>
      <w:pPr>
        <w:keepNext w:val="0"/>
        <w:keepLines w:val="0"/>
        <w:pageBreakBefore w:val="0"/>
        <w:widowControl w:val="0"/>
        <w:kinsoku/>
        <w:wordWrap/>
        <w:overflowPunct/>
        <w:topLinePunct w:val="0"/>
        <w:autoSpaceDE/>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2.公开</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遴选文件</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3.供应商报名产品目录（医疗器械）</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4.供应商报名产品目录（非医疗器械）</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深圳市</w:t>
      </w:r>
      <w:r>
        <w:rPr>
          <w:rFonts w:hint="eastAsia" w:ascii="仿宋_GB2312" w:hAnsi="仿宋_GB2312" w:eastAsia="仿宋_GB2312" w:cs="仿宋_GB2312"/>
          <w:sz w:val="32"/>
          <w:szCs w:val="32"/>
        </w:rPr>
        <w:t>福田区慢性病防治院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bookmarkStart w:id="0" w:name="_GoBack"/>
      <w:bookmarkEnd w:id="0"/>
      <w:r>
        <w:rPr>
          <w:rFonts w:hint="eastAsia" w:ascii="仿宋_GB2312" w:hAnsi="仿宋_GB2312" w:eastAsia="仿宋_GB2312" w:cs="仿宋_GB2312"/>
          <w:color w:val="auto"/>
          <w:sz w:val="32"/>
          <w:szCs w:val="32"/>
          <w:highlight w:val="none"/>
        </w:rPr>
        <w:t>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val="en-US" w:eastAsia="zh-CN"/>
        </w:rPr>
      </w:pPr>
    </w:p>
    <w:sectPr>
      <w:pgSz w:w="11906" w:h="16838"/>
      <w:pgMar w:top="1701" w:right="1474" w:bottom="1134" w:left="147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440216-E9A2-4301-AF14-09F3FF8041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96B745FB-F1B8-4C37-BBDD-DC8115B131E9}"/>
  </w:font>
  <w:font w:name="仿宋_GB2312">
    <w:panose1 w:val="02010609030101010101"/>
    <w:charset w:val="86"/>
    <w:family w:val="modern"/>
    <w:pitch w:val="default"/>
    <w:sig w:usb0="00000001" w:usb1="080E0000" w:usb2="00000000" w:usb3="00000000" w:csb0="00040000" w:csb1="00000000"/>
    <w:embedRegular r:id="rId3" w:fontKey="{193A7BA4-E6C7-4366-8DC8-BFCD2E0F4278}"/>
  </w:font>
  <w:font w:name="楷体_GB2312">
    <w:panose1 w:val="02010609030101010101"/>
    <w:charset w:val="86"/>
    <w:family w:val="auto"/>
    <w:pitch w:val="default"/>
    <w:sig w:usb0="00000001" w:usb1="080E0000" w:usb2="00000000" w:usb3="00000000" w:csb0="00040000" w:csb1="00000000"/>
    <w:embedRegular r:id="rId4" w:fontKey="{4D974199-C672-4B94-8B99-3629B9EB938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14A355"/>
    <w:multiLevelType w:val="singleLevel"/>
    <w:tmpl w:val="6D14A35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80EAD"/>
    <w:rsid w:val="000349B3"/>
    <w:rsid w:val="0004083A"/>
    <w:rsid w:val="00087BE1"/>
    <w:rsid w:val="000933CC"/>
    <w:rsid w:val="001B648B"/>
    <w:rsid w:val="001B651C"/>
    <w:rsid w:val="002547C2"/>
    <w:rsid w:val="00273254"/>
    <w:rsid w:val="002A361A"/>
    <w:rsid w:val="002B1867"/>
    <w:rsid w:val="002E32CC"/>
    <w:rsid w:val="00307A95"/>
    <w:rsid w:val="00307F72"/>
    <w:rsid w:val="003322F1"/>
    <w:rsid w:val="003425CB"/>
    <w:rsid w:val="003753B7"/>
    <w:rsid w:val="003B6373"/>
    <w:rsid w:val="003B64D3"/>
    <w:rsid w:val="003C1BA0"/>
    <w:rsid w:val="003D6498"/>
    <w:rsid w:val="00446A2C"/>
    <w:rsid w:val="004D5908"/>
    <w:rsid w:val="0053422F"/>
    <w:rsid w:val="00553BA4"/>
    <w:rsid w:val="00567BA6"/>
    <w:rsid w:val="005B1523"/>
    <w:rsid w:val="005D08AC"/>
    <w:rsid w:val="00615C26"/>
    <w:rsid w:val="00650D47"/>
    <w:rsid w:val="006758B8"/>
    <w:rsid w:val="006A0BB6"/>
    <w:rsid w:val="006F5406"/>
    <w:rsid w:val="00712C53"/>
    <w:rsid w:val="00730864"/>
    <w:rsid w:val="00773520"/>
    <w:rsid w:val="007741AB"/>
    <w:rsid w:val="007C0973"/>
    <w:rsid w:val="007E5065"/>
    <w:rsid w:val="00812C7E"/>
    <w:rsid w:val="00891F68"/>
    <w:rsid w:val="009078D9"/>
    <w:rsid w:val="00951A9B"/>
    <w:rsid w:val="009638A9"/>
    <w:rsid w:val="00AB03C0"/>
    <w:rsid w:val="00AF69E8"/>
    <w:rsid w:val="00B32F29"/>
    <w:rsid w:val="00B76CC0"/>
    <w:rsid w:val="00BF52BD"/>
    <w:rsid w:val="00C12E0C"/>
    <w:rsid w:val="00C17B7E"/>
    <w:rsid w:val="00C50975"/>
    <w:rsid w:val="00C807D7"/>
    <w:rsid w:val="00C80EAD"/>
    <w:rsid w:val="00CF2FD4"/>
    <w:rsid w:val="00D23242"/>
    <w:rsid w:val="00D77835"/>
    <w:rsid w:val="00DF6298"/>
    <w:rsid w:val="00DF74DF"/>
    <w:rsid w:val="00E01C60"/>
    <w:rsid w:val="00EB1E1D"/>
    <w:rsid w:val="00F72CA9"/>
    <w:rsid w:val="00F9566A"/>
    <w:rsid w:val="00FC714C"/>
    <w:rsid w:val="00FF5C08"/>
    <w:rsid w:val="01437C9C"/>
    <w:rsid w:val="01453A14"/>
    <w:rsid w:val="01AE15BA"/>
    <w:rsid w:val="02A12ECC"/>
    <w:rsid w:val="03092820"/>
    <w:rsid w:val="03200295"/>
    <w:rsid w:val="03323B24"/>
    <w:rsid w:val="035C76DA"/>
    <w:rsid w:val="04131BA8"/>
    <w:rsid w:val="049B70E5"/>
    <w:rsid w:val="04AE7B23"/>
    <w:rsid w:val="04DE423D"/>
    <w:rsid w:val="05E76E48"/>
    <w:rsid w:val="06654211"/>
    <w:rsid w:val="067B1C86"/>
    <w:rsid w:val="081232D5"/>
    <w:rsid w:val="08CA47FF"/>
    <w:rsid w:val="094620D8"/>
    <w:rsid w:val="097906FF"/>
    <w:rsid w:val="0ABB08A3"/>
    <w:rsid w:val="0B474EF2"/>
    <w:rsid w:val="0B7967FE"/>
    <w:rsid w:val="0C087B18"/>
    <w:rsid w:val="0C430B50"/>
    <w:rsid w:val="0D094B53"/>
    <w:rsid w:val="0D1A3FA7"/>
    <w:rsid w:val="0D605732"/>
    <w:rsid w:val="0D6C40D7"/>
    <w:rsid w:val="0DC864D6"/>
    <w:rsid w:val="0F8A6A96"/>
    <w:rsid w:val="103435D2"/>
    <w:rsid w:val="106A2B50"/>
    <w:rsid w:val="10EC5C5A"/>
    <w:rsid w:val="11156BD0"/>
    <w:rsid w:val="11CC783A"/>
    <w:rsid w:val="12D20E80"/>
    <w:rsid w:val="12E36BE9"/>
    <w:rsid w:val="13763F01"/>
    <w:rsid w:val="137E5204"/>
    <w:rsid w:val="13A24168"/>
    <w:rsid w:val="14B940A6"/>
    <w:rsid w:val="14BE14FD"/>
    <w:rsid w:val="15B14D7D"/>
    <w:rsid w:val="16461969"/>
    <w:rsid w:val="164F72E4"/>
    <w:rsid w:val="16B8213B"/>
    <w:rsid w:val="17514A69"/>
    <w:rsid w:val="17C074F9"/>
    <w:rsid w:val="18381EC4"/>
    <w:rsid w:val="18441ED8"/>
    <w:rsid w:val="18E831AB"/>
    <w:rsid w:val="194303E2"/>
    <w:rsid w:val="196D545F"/>
    <w:rsid w:val="1A1B135F"/>
    <w:rsid w:val="1B8A22F8"/>
    <w:rsid w:val="1BC25F36"/>
    <w:rsid w:val="1BC53330"/>
    <w:rsid w:val="1C6A3ED7"/>
    <w:rsid w:val="1D266050"/>
    <w:rsid w:val="1D532BBD"/>
    <w:rsid w:val="1E1E766F"/>
    <w:rsid w:val="1E676920"/>
    <w:rsid w:val="1FA57C53"/>
    <w:rsid w:val="1FE90291"/>
    <w:rsid w:val="1FFE1506"/>
    <w:rsid w:val="21562C7C"/>
    <w:rsid w:val="23B75C54"/>
    <w:rsid w:val="242C4821"/>
    <w:rsid w:val="24425B9F"/>
    <w:rsid w:val="24AF4B7D"/>
    <w:rsid w:val="24CC572F"/>
    <w:rsid w:val="268F110A"/>
    <w:rsid w:val="27421CD9"/>
    <w:rsid w:val="27750300"/>
    <w:rsid w:val="27C546B8"/>
    <w:rsid w:val="28E76FDC"/>
    <w:rsid w:val="28EF7C3E"/>
    <w:rsid w:val="29143B49"/>
    <w:rsid w:val="2A6603D4"/>
    <w:rsid w:val="2AC33130"/>
    <w:rsid w:val="2AFB4FC0"/>
    <w:rsid w:val="2B5E3567"/>
    <w:rsid w:val="2B674404"/>
    <w:rsid w:val="2B6F5066"/>
    <w:rsid w:val="2C6B3A80"/>
    <w:rsid w:val="2DA336ED"/>
    <w:rsid w:val="2F3B1E2F"/>
    <w:rsid w:val="2F9E23BE"/>
    <w:rsid w:val="2FE53B49"/>
    <w:rsid w:val="30463892"/>
    <w:rsid w:val="31747780"/>
    <w:rsid w:val="31C14142"/>
    <w:rsid w:val="327A0EC0"/>
    <w:rsid w:val="33AD1E6B"/>
    <w:rsid w:val="34160775"/>
    <w:rsid w:val="343432F1"/>
    <w:rsid w:val="3542559A"/>
    <w:rsid w:val="35673A3A"/>
    <w:rsid w:val="36435A6D"/>
    <w:rsid w:val="36E115DE"/>
    <w:rsid w:val="37963C65"/>
    <w:rsid w:val="386F2B4A"/>
    <w:rsid w:val="38A8605B"/>
    <w:rsid w:val="392A081F"/>
    <w:rsid w:val="39311BAD"/>
    <w:rsid w:val="393D0552"/>
    <w:rsid w:val="39B27192"/>
    <w:rsid w:val="3AB15F18"/>
    <w:rsid w:val="3B5F50F7"/>
    <w:rsid w:val="3C544530"/>
    <w:rsid w:val="3E304B29"/>
    <w:rsid w:val="410D4CAE"/>
    <w:rsid w:val="417B255F"/>
    <w:rsid w:val="41C53741"/>
    <w:rsid w:val="41F67E38"/>
    <w:rsid w:val="42254279"/>
    <w:rsid w:val="442E5667"/>
    <w:rsid w:val="44425E63"/>
    <w:rsid w:val="459A48CD"/>
    <w:rsid w:val="45EA380F"/>
    <w:rsid w:val="47376F28"/>
    <w:rsid w:val="47AD71EA"/>
    <w:rsid w:val="48217291"/>
    <w:rsid w:val="483B0352"/>
    <w:rsid w:val="4889645B"/>
    <w:rsid w:val="4921579A"/>
    <w:rsid w:val="49331971"/>
    <w:rsid w:val="49465201"/>
    <w:rsid w:val="497272D4"/>
    <w:rsid w:val="4AF20303"/>
    <w:rsid w:val="4C72630D"/>
    <w:rsid w:val="4DA77659"/>
    <w:rsid w:val="4E487C6D"/>
    <w:rsid w:val="4F74027A"/>
    <w:rsid w:val="4FF0236A"/>
    <w:rsid w:val="510F6820"/>
    <w:rsid w:val="51524110"/>
    <w:rsid w:val="52BB6C5F"/>
    <w:rsid w:val="52C75D9F"/>
    <w:rsid w:val="53927192"/>
    <w:rsid w:val="53AB0A82"/>
    <w:rsid w:val="53FF0DCE"/>
    <w:rsid w:val="54DE6C35"/>
    <w:rsid w:val="553700F3"/>
    <w:rsid w:val="5572737D"/>
    <w:rsid w:val="56270168"/>
    <w:rsid w:val="563B3C13"/>
    <w:rsid w:val="56AB2B47"/>
    <w:rsid w:val="58311772"/>
    <w:rsid w:val="5BB26726"/>
    <w:rsid w:val="5BC87CF7"/>
    <w:rsid w:val="5BEA5EBF"/>
    <w:rsid w:val="5D850596"/>
    <w:rsid w:val="5EDB5F93"/>
    <w:rsid w:val="60B116A2"/>
    <w:rsid w:val="611C2FBF"/>
    <w:rsid w:val="61C55405"/>
    <w:rsid w:val="62CD2097"/>
    <w:rsid w:val="634467FD"/>
    <w:rsid w:val="63DA4A6C"/>
    <w:rsid w:val="641E704E"/>
    <w:rsid w:val="64EE4C72"/>
    <w:rsid w:val="65592381"/>
    <w:rsid w:val="65847385"/>
    <w:rsid w:val="6646463A"/>
    <w:rsid w:val="664663E8"/>
    <w:rsid w:val="676A4E9C"/>
    <w:rsid w:val="68183DB4"/>
    <w:rsid w:val="68A85138"/>
    <w:rsid w:val="68B166E3"/>
    <w:rsid w:val="6987046D"/>
    <w:rsid w:val="69B63885"/>
    <w:rsid w:val="69F10D61"/>
    <w:rsid w:val="6A5F5CCB"/>
    <w:rsid w:val="6AAD6A36"/>
    <w:rsid w:val="6C6C46CF"/>
    <w:rsid w:val="6C8B724B"/>
    <w:rsid w:val="6D793547"/>
    <w:rsid w:val="6FF46EB5"/>
    <w:rsid w:val="713779A1"/>
    <w:rsid w:val="71BB2380"/>
    <w:rsid w:val="724E4FA2"/>
    <w:rsid w:val="74404DBF"/>
    <w:rsid w:val="750C0BC2"/>
    <w:rsid w:val="76B4114C"/>
    <w:rsid w:val="76FA74A7"/>
    <w:rsid w:val="77B91110"/>
    <w:rsid w:val="77C86C97"/>
    <w:rsid w:val="78397B5B"/>
    <w:rsid w:val="784F737E"/>
    <w:rsid w:val="79864DD2"/>
    <w:rsid w:val="79A656C4"/>
    <w:rsid w:val="7A97500D"/>
    <w:rsid w:val="7AC027B5"/>
    <w:rsid w:val="7AC06141"/>
    <w:rsid w:val="7AED2E7F"/>
    <w:rsid w:val="7B5D6256"/>
    <w:rsid w:val="7CB1685A"/>
    <w:rsid w:val="7D484556"/>
    <w:rsid w:val="7DB76FA7"/>
    <w:rsid w:val="7FFF5B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4"/>
    <w:semiHidden/>
    <w:qFormat/>
    <w:locked/>
    <w:uiPriority w:val="99"/>
    <w:rPr>
      <w:sz w:val="18"/>
      <w:szCs w:val="18"/>
    </w:rPr>
  </w:style>
  <w:style w:type="character" w:customStyle="1" w:styleId="10">
    <w:name w:val="页脚 字符"/>
    <w:basedOn w:val="8"/>
    <w:link w:val="3"/>
    <w:semiHidden/>
    <w:qFormat/>
    <w:locked/>
    <w:uiPriority w:val="99"/>
    <w:rPr>
      <w:sz w:val="18"/>
      <w:szCs w:val="18"/>
    </w:rPr>
  </w:style>
  <w:style w:type="paragraph" w:customStyle="1" w:styleId="11">
    <w:name w:val="arc_info"/>
    <w:basedOn w:val="1"/>
    <w:qFormat/>
    <w:uiPriority w:val="99"/>
    <w:pPr>
      <w:widowControl/>
      <w:pBdr>
        <w:top w:val="dashed" w:color="D8D8D8" w:sz="6" w:space="0"/>
        <w:bottom w:val="dashed" w:color="D8D8D8" w:sz="6" w:space="0"/>
      </w:pBdr>
      <w:spacing w:line="525" w:lineRule="atLeast"/>
      <w:ind w:left="375" w:right="375"/>
      <w:jc w:val="center"/>
    </w:pPr>
    <w:rPr>
      <w:rFonts w:ascii="宋体" w:hAnsi="宋体" w:cs="宋体"/>
      <w:color w:val="333333"/>
      <w:kern w:val="0"/>
      <w:sz w:val="24"/>
      <w:szCs w:val="24"/>
    </w:rPr>
  </w:style>
  <w:style w:type="character" w:customStyle="1" w:styleId="12">
    <w:name w:val="small1"/>
    <w:basedOn w:val="8"/>
    <w:qFormat/>
    <w:uiPriority w:val="99"/>
  </w:style>
  <w:style w:type="character" w:customStyle="1" w:styleId="13">
    <w:name w:val="middle1"/>
    <w:basedOn w:val="8"/>
    <w:qFormat/>
    <w:uiPriority w:val="99"/>
  </w:style>
  <w:style w:type="character" w:customStyle="1" w:styleId="14">
    <w:name w:val="big1"/>
    <w:basedOn w:val="8"/>
    <w:qFormat/>
    <w:uiPriority w:val="99"/>
  </w:style>
  <w:style w:type="character" w:customStyle="1" w:styleId="15">
    <w:name w:val="批注框文本 字符"/>
    <w:basedOn w:val="8"/>
    <w:link w:val="2"/>
    <w:semiHidden/>
    <w:qFormat/>
    <w:locked/>
    <w:uiPriority w:val="99"/>
    <w:rPr>
      <w:sz w:val="18"/>
      <w:szCs w:val="18"/>
    </w:rPr>
  </w:style>
  <w:style w:type="paragraph" w:customStyle="1" w:styleId="16">
    <w:name w:val="Char"/>
    <w:basedOn w:val="1"/>
    <w:qFormat/>
    <w:uiPriority w:val="99"/>
    <w:rPr>
      <w:rFonts w:ascii="Times New Roman" w:hAnsi="Times New Roman" w:cs="Times New Roman"/>
    </w:rPr>
  </w:style>
  <w:style w:type="character" w:customStyle="1" w:styleId="17">
    <w:name w:val="HTML 预设格式 字符"/>
    <w:basedOn w:val="8"/>
    <w:link w:val="5"/>
    <w:semiHidden/>
    <w:qFormat/>
    <w:uiPriority w:val="99"/>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1342</Words>
  <Characters>1643</Characters>
  <Lines>17</Lines>
  <Paragraphs>4</Paragraphs>
  <TotalTime>5</TotalTime>
  <ScaleCrop>false</ScaleCrop>
  <LinksUpToDate>false</LinksUpToDate>
  <CharactersWithSpaces>1691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2016-08-16T06:20:00Z</dcterms:created>
  <dc:creator>Lenovo</dc:creator>
  <cp:lastModifiedBy>2</cp:lastModifiedBy>
  <cp:lastPrinted>2016-08-16T07:07:00Z</cp:lastPrinted>
  <dcterms:modified xsi:type="dcterms:W3CDTF">2024-09-25T00:32:45Z</dcterms:modified>
  <dc:title>关于成立药品不良反应监测工作领导小组的通知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E8701B183D7C4FB1A9394E918F1C09A9</vt:lpwstr>
  </property>
</Properties>
</file>